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233680</wp:posOffset>
            </wp:positionH>
            <wp:positionV relativeFrom="page">
              <wp:posOffset>217805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174625</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124460</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96520</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139700</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Starz Entertainment Corp.</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107315</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97" w:lineRule="exact"/>
        <w:rPr>
          <w:sz w:val="24"/>
          <w:szCs w:val="24"/>
          <w:color w:val="auto"/>
        </w:rPr>
      </w:pPr>
    </w:p>
    <w:tbl>
      <w:tblPr>
        <w:tblLayout w:type="fixed"/>
        <w:tblInd w:w="1140" w:type="dxa"/>
        <w:tblCellMar>
          <w:top w:w="0" w:type="dxa"/>
          <w:left w:w="0" w:type="dxa"/>
          <w:bottom w:w="0" w:type="dxa"/>
          <w:right w:w="0" w:type="dxa"/>
        </w:tblCellMar>
      </w:tblPr>
      <w:tr>
        <w:trPr>
          <w:trHeight w:val="238"/>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48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1-14880</w:t>
            </w:r>
          </w:p>
        </w:tc>
        <w:tc>
          <w:tcPr>
            <w:tcW w:w="16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89"/>
        </w:trPr>
        <w:tc>
          <w:tcPr>
            <w:tcW w:w="21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820" w:type="dxa"/>
            <w:vAlign w:val="bottom"/>
          </w:tcPr>
          <w:p>
            <w:pPr>
              <w:ind w:left="1640"/>
              <w:spacing w:after="0" w:line="189" w:lineRule="exact"/>
              <w:rPr>
                <w:sz w:val="20"/>
                <w:szCs w:val="20"/>
                <w:color w:val="auto"/>
              </w:rPr>
            </w:pPr>
            <w:r>
              <w:rPr>
                <w:rFonts w:ascii="Times New Roman" w:cs="Times New Roman" w:eastAsia="Times New Roman" w:hAnsi="Times New Roman"/>
                <w:sz w:val="18"/>
                <w:szCs w:val="18"/>
                <w:color w:val="auto"/>
              </w:rPr>
              <w:t>(Commission File</w:t>
            </w:r>
          </w:p>
        </w:tc>
        <w:tc>
          <w:tcPr>
            <w:tcW w:w="1620" w:type="dxa"/>
            <w:vAlign w:val="bottom"/>
          </w:tcPr>
          <w:p>
            <w:pPr>
              <w:jc w:val="center"/>
              <w:ind w:left="17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8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8"/>
              </w:rPr>
              <w:t>Number)</w:t>
            </w:r>
          </w:p>
        </w:tc>
        <w:tc>
          <w:tcPr>
            <w:tcW w:w="1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05"/>
        </w:trPr>
        <w:tc>
          <w:tcPr>
            <w:tcW w:w="2160" w:type="dxa"/>
            <w:vAlign w:val="bottom"/>
          </w:tcPr>
          <w:p>
            <w:pPr>
              <w:spacing w:after="0"/>
              <w:rPr>
                <w:sz w:val="24"/>
                <w:szCs w:val="24"/>
                <w:color w:val="auto"/>
              </w:rPr>
            </w:pPr>
          </w:p>
        </w:tc>
        <w:tc>
          <w:tcPr>
            <w:tcW w:w="48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250 Howe Street, 20th Floor</w:t>
            </w:r>
          </w:p>
        </w:tc>
        <w:tc>
          <w:tcPr>
            <w:tcW w:w="162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482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 V6C 3R8</w:t>
            </w:r>
          </w:p>
        </w:tc>
        <w:tc>
          <w:tcPr>
            <w:tcW w:w="1620" w:type="dxa"/>
            <w:vAlign w:val="bottom"/>
          </w:tcPr>
          <w:p>
            <w:pPr>
              <w:spacing w:after="0"/>
              <w:rPr>
                <w:sz w:val="20"/>
                <w:szCs w:val="20"/>
                <w:color w:val="auto"/>
              </w:rPr>
            </w:pPr>
          </w:p>
        </w:tc>
      </w:tr>
      <w:tr>
        <w:trPr>
          <w:trHeight w:val="410"/>
        </w:trPr>
        <w:tc>
          <w:tcPr>
            <w:tcW w:w="2160" w:type="dxa"/>
            <w:vAlign w:val="bottom"/>
          </w:tcPr>
          <w:p>
            <w:pPr>
              <w:spacing w:after="0"/>
              <w:rPr>
                <w:sz w:val="24"/>
                <w:szCs w:val="24"/>
                <w:color w:val="auto"/>
              </w:rPr>
            </w:pPr>
          </w:p>
        </w:tc>
        <w:tc>
          <w:tcPr>
            <w:tcW w:w="482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1647 Stewart Street</w:t>
            </w:r>
          </w:p>
        </w:tc>
        <w:tc>
          <w:tcPr>
            <w:tcW w:w="1620" w:type="dxa"/>
            <w:vAlign w:val="bottom"/>
          </w:tcPr>
          <w:p>
            <w:pPr>
              <w:spacing w:after="0"/>
              <w:rPr>
                <w:sz w:val="24"/>
                <w:szCs w:val="24"/>
                <w:color w:val="auto"/>
              </w:rPr>
            </w:pPr>
          </w:p>
        </w:tc>
      </w:tr>
      <w:tr>
        <w:trPr>
          <w:trHeight w:val="224"/>
        </w:trPr>
        <w:tc>
          <w:tcPr>
            <w:tcW w:w="2160" w:type="dxa"/>
            <w:vAlign w:val="bottom"/>
          </w:tcPr>
          <w:p>
            <w:pPr>
              <w:spacing w:after="0"/>
              <w:rPr>
                <w:sz w:val="19"/>
                <w:szCs w:val="19"/>
                <w:color w:val="auto"/>
              </w:rPr>
            </w:pPr>
          </w:p>
        </w:tc>
        <w:tc>
          <w:tcPr>
            <w:tcW w:w="48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Santa Monica, California 90404</w:t>
            </w:r>
          </w:p>
        </w:tc>
        <w:tc>
          <w:tcPr>
            <w:tcW w:w="1620" w:type="dxa"/>
            <w:vAlign w:val="bottom"/>
          </w:tcPr>
          <w:p>
            <w:pPr>
              <w:spacing w:after="0"/>
              <w:rPr>
                <w:sz w:val="19"/>
                <w:szCs w:val="19"/>
                <w:color w:val="auto"/>
              </w:rPr>
            </w:pPr>
          </w:p>
        </w:tc>
      </w:tr>
      <w:tr>
        <w:trPr>
          <w:trHeight w:val="210"/>
        </w:trPr>
        <w:tc>
          <w:tcPr>
            <w:tcW w:w="2160" w:type="dxa"/>
            <w:vAlign w:val="bottom"/>
          </w:tcPr>
          <w:p>
            <w:pPr>
              <w:spacing w:after="0"/>
              <w:rPr>
                <w:sz w:val="18"/>
                <w:szCs w:val="18"/>
                <w:color w:val="auto"/>
              </w:rPr>
            </w:pPr>
          </w:p>
        </w:tc>
        <w:tc>
          <w:tcPr>
            <w:tcW w:w="482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620" w:type="dxa"/>
            <w:vAlign w:val="bottom"/>
          </w:tcPr>
          <w:p>
            <w:pPr>
              <w:spacing w:after="0"/>
              <w:rPr>
                <w:sz w:val="18"/>
                <w:szCs w:val="18"/>
                <w:color w:val="auto"/>
              </w:rPr>
            </w:pPr>
          </w:p>
        </w:tc>
      </w:tr>
      <w:tr>
        <w:trPr>
          <w:trHeight w:val="298"/>
        </w:trPr>
        <w:tc>
          <w:tcPr>
            <w:tcW w:w="2160" w:type="dxa"/>
            <w:vAlign w:val="bottom"/>
          </w:tcPr>
          <w:p>
            <w:pPr>
              <w:spacing w:after="0"/>
              <w:rPr>
                <w:sz w:val="24"/>
                <w:szCs w:val="24"/>
                <w:color w:val="auto"/>
              </w:rPr>
            </w:pPr>
          </w:p>
        </w:tc>
        <w:tc>
          <w:tcPr>
            <w:tcW w:w="48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(310) 255-3651</w:t>
            </w:r>
          </w:p>
        </w:tc>
        <w:tc>
          <w:tcPr>
            <w:tcW w:w="162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48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20" w:type="dxa"/>
            <w:vAlign w:val="bottom"/>
          </w:tcPr>
          <w:p>
            <w:pPr>
              <w:spacing w:after="0"/>
              <w:rPr>
                <w:sz w:val="20"/>
                <w:szCs w:val="20"/>
                <w:color w:val="auto"/>
              </w:rPr>
            </w:pPr>
          </w:p>
        </w:tc>
      </w:tr>
      <w:tr>
        <w:trPr>
          <w:trHeight w:val="306"/>
        </w:trPr>
        <w:tc>
          <w:tcPr>
            <w:tcW w:w="2160" w:type="dxa"/>
            <w:vAlign w:val="bottom"/>
          </w:tcPr>
          <w:p>
            <w:pPr>
              <w:spacing w:after="0"/>
              <w:rPr>
                <w:sz w:val="24"/>
                <w:szCs w:val="24"/>
                <w:color w:val="auto"/>
              </w:rPr>
            </w:pPr>
          </w:p>
        </w:tc>
        <w:tc>
          <w:tcPr>
            <w:tcW w:w="48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N/A</w:t>
            </w:r>
          </w:p>
        </w:tc>
        <w:tc>
          <w:tcPr>
            <w:tcW w:w="162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48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120015</wp:posOffset>
            </wp:positionV>
            <wp:extent cx="1714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6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460" w:hanging="434"/>
        <w:spacing w:after="0" w:line="181" w:lineRule="auto"/>
        <w:tabs>
          <w:tab w:leader="none" w:pos="460" w:val="left"/>
        </w:tabs>
        <w:numPr>
          <w:ilvl w:val="0"/>
          <w:numId w:val="1"/>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2" w:lineRule="exact"/>
        <w:rPr>
          <w:rFonts w:ascii="MS PGothic" w:cs="MS PGothic" w:eastAsia="MS PGothic" w:hAnsi="MS PGothic"/>
          <w:sz w:val="32"/>
          <w:szCs w:val="32"/>
          <w:color w:val="auto"/>
          <w:vertAlign w:val="subscript"/>
        </w:rPr>
      </w:pPr>
    </w:p>
    <w:p>
      <w:pPr>
        <w:ind w:left="460" w:hanging="434"/>
        <w:spacing w:after="0" w:line="188" w:lineRule="auto"/>
        <w:tabs>
          <w:tab w:leader="none" w:pos="46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Pre-commencement communications pursuant to Rule 14d-2(b) under the Exchange (17 CFR 240.14d-2(b))</w:t>
      </w:r>
    </w:p>
    <w:p>
      <w:pPr>
        <w:spacing w:after="0" w:line="117" w:lineRule="exact"/>
        <w:rPr>
          <w:rFonts w:ascii="MS PGothic" w:cs="MS PGothic" w:eastAsia="MS PGothic" w:hAnsi="MS PGothic"/>
          <w:sz w:val="36"/>
          <w:szCs w:val="36"/>
          <w:color w:val="auto"/>
          <w:vertAlign w:val="subscript"/>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70"/>
        </w:trPr>
        <w:tc>
          <w:tcPr>
            <w:tcW w:w="1360" w:type="dxa"/>
            <w:vAlign w:val="bottom"/>
          </w:tcPr>
          <w:p>
            <w:pPr>
              <w:spacing w:after="0"/>
              <w:rPr>
                <w:sz w:val="23"/>
                <w:szCs w:val="23"/>
                <w:color w:val="auto"/>
              </w:rPr>
            </w:pPr>
          </w:p>
        </w:tc>
        <w:tc>
          <w:tcPr>
            <w:tcW w:w="3180" w:type="dxa"/>
            <w:vAlign w:val="bottom"/>
            <w:gridSpan w:val="2"/>
          </w:tcPr>
          <w:p>
            <w:pPr>
              <w:jc w:val="center"/>
              <w:ind w:right="18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8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318"/>
        </w:trPr>
        <w:tc>
          <w:tcPr>
            <w:tcW w:w="454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Common Shares, no par value per share</w:t>
            </w:r>
          </w:p>
        </w:tc>
        <w:tc>
          <w:tcPr>
            <w:tcW w:w="400" w:type="dxa"/>
            <w:vAlign w:val="bottom"/>
          </w:tcPr>
          <w:p>
            <w:pPr>
              <w:spacing w:after="0"/>
              <w:rPr>
                <w:sz w:val="24"/>
                <w:szCs w:val="24"/>
                <w:color w:val="auto"/>
              </w:rPr>
            </w:pPr>
          </w:p>
        </w:tc>
        <w:tc>
          <w:tcPr>
            <w:tcW w:w="20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STRZ</w:t>
            </w:r>
          </w:p>
        </w:tc>
        <w:tc>
          <w:tcPr>
            <w:tcW w:w="6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56"/>
        </w:trPr>
        <w:tc>
          <w:tcPr>
            <w:tcW w:w="1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5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626110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565785</wp:posOffset>
            </wp:positionV>
            <wp:extent cx="70891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Certain Officers.</w:t>
      </w:r>
    </w:p>
    <w:p>
      <w:pPr>
        <w:spacing w:after="0" w:line="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On June 3, 2025, Mr. Marc Graboff resigned from his position as a member of the Board of Directors of Starz Entertainment Corp., a corporation organized under the laws of the province of British Columbia, Canada (hereinafter the “Company”), and from any and all of the committees of the Board on which he</w:t>
      </w:r>
    </w:p>
    <w:p>
      <w:pPr>
        <w:spacing w:after="0" w:line="1"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serves, which resignation was accepted by the Board of Directors on June 4, 2025. Mr. Graboff had been Warner Bros. Discovery, Inc.’s designee to the Company’s Board of Directors per Section 2.01 of the Investor Rights Agreement, dated as of May 6, 2025, by and among the Company, MHR Fund Management LLC, Liberty Global Ventures Limited, Discovery Lightning Investments Ltd., Liberty Global Ltd., and Warner Bros. Discovery, Inc. Mr.</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Graboff’s resignation was required upon the sale by Warner Bros. Discovery, Inc. of its shares in the Company to MHR Fund Management LLC. Mr. Graboff’s resignation was not the result of any disagreement between the Company and him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Starz Entertainment Corp.</w:t>
      </w:r>
    </w:p>
    <w:p>
      <w:pPr>
        <w:spacing w:after="0" w:line="337" w:lineRule="exact"/>
        <w:rPr>
          <w:sz w:val="20"/>
          <w:szCs w:val="20"/>
          <w:color w:val="auto"/>
        </w:rPr>
      </w:pPr>
    </w:p>
    <w:p>
      <w:pPr>
        <w:ind w:left="1440"/>
        <w:spacing w:after="0"/>
        <w:tabs>
          <w:tab w:leader="none" w:pos="1960" w:val="left"/>
          <w:tab w:leader="none" w:pos="6800" w:val="left"/>
        </w:tabs>
        <w:rPr>
          <w:sz w:val="20"/>
          <w:szCs w:val="20"/>
          <w:color w:val="auto"/>
        </w:rPr>
      </w:pPr>
      <w:r>
        <w:rPr>
          <w:rFonts w:ascii="Times New Roman" w:cs="Times New Roman" w:eastAsia="Times New Roman" w:hAnsi="Times New Roman"/>
          <w:sz w:val="18"/>
          <w:szCs w:val="18"/>
          <w:color w:val="auto"/>
        </w:rPr>
        <w:t>Date:</w:t>
        <w:tab/>
        <w:t>June 4, 2025</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Audrey Lee</w:t>
      </w:r>
    </w:p>
    <w:p>
      <w:pPr>
        <w:spacing w:after="0" w:line="6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Audrey Lee</w:t>
      </w:r>
    </w:p>
    <w:p>
      <w:pPr>
        <w:spacing w:after="0" w:line="6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EVP and General Counsel</w:t>
      </w:r>
    </w:p>
    <w:sectPr>
      <w:pgSz w:w="11900" w:h="16838" w:orient="portrait"/>
      <w:cols w:equalWidth="0" w:num="1">
        <w:col w:w="10340"/>
      </w:cols>
      <w:pgMar w:left="320" w:top="1418"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2025-06-04T16:25:06Z</dcterms:created>
  <dcterms:modified xsi:type="dcterms:W3CDTF">2025-06-04T16:25:06Z</dcterms:modified>
</cp:coreProperties>
</file>