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7,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Starz Entertainment Corp.</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233" w:type="dxa"/>
        <w:jc w:val="center"/>
        <w:tblInd w:w="0" w:type="dxa"/>
        <w:tblLayout w:type="fixed"/>
        <w:tblCellMar>
          <w:top w:w="28" w:type="dxa"/>
          <w:left w:w="28" w:type="dxa"/>
          <w:bottom w:w="28" w:type="dxa"/>
          <w:right w:w="28" w:type="dxa"/>
        </w:tblCellMar>
      </w:tblPr>
      <w:tblGrid>
        <w:gridCol w:w="847"/>
        <w:gridCol w:w="744"/>
        <w:gridCol w:w="749"/>
        <w:gridCol w:w="109"/>
        <w:gridCol w:w="109"/>
        <w:gridCol w:w="109"/>
        <w:gridCol w:w="528"/>
        <w:gridCol w:w="528"/>
        <w:gridCol w:w="533"/>
        <w:gridCol w:w="109"/>
        <w:gridCol w:w="109"/>
        <w:gridCol w:w="109"/>
        <w:gridCol w:w="483"/>
        <w:gridCol w:w="483"/>
        <w:gridCol w:w="684"/>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250 Howe Street, 20th Floor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Vancouver, British Columbia V6C 3R8</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1647 Stewart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Monica, California 90404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(604) 648-6559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7"/>
        <w:gridCol w:w="2667"/>
        <w:gridCol w:w="37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88" w:type="dxa"/>
        <w:jc w:val="left"/>
        <w:tblInd w:w="0" w:type="dxa"/>
        <w:tblLayout w:type="fixed"/>
        <w:tblCellMar>
          <w:top w:w="28" w:type="dxa"/>
          <w:left w:w="28" w:type="dxa"/>
          <w:bottom w:w="28" w:type="dxa"/>
          <w:right w:w="28" w:type="dxa"/>
        </w:tblCellMar>
      </w:tblPr>
      <w:tblGrid>
        <w:gridCol w:w="1271"/>
        <w:gridCol w:w="1113"/>
        <w:gridCol w:w="1126"/>
        <w:gridCol w:w="109"/>
        <w:gridCol w:w="109"/>
        <w:gridCol w:w="109"/>
        <w:gridCol w:w="539"/>
        <w:gridCol w:w="539"/>
        <w:gridCol w:w="541"/>
        <w:gridCol w:w="109"/>
        <w:gridCol w:w="109"/>
        <w:gridCol w:w="109"/>
        <w:gridCol w:w="1085"/>
        <w:gridCol w:w="1085"/>
        <w:gridCol w:w="1535"/>
      </w:tblGrid>
      <w:tr>
        <w:trPr/>
        <w:tc>
          <w:tcPr>
            <w:tcW w:w="127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Shares, no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r>
        <w:trPr/>
        <w:tc>
          <w:tcPr>
            <w:tcW w:w="35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04850"/>
                <wp:effectExtent l="0" t="0" r="0" b="0"/>
                <wp:wrapNone/>
                <wp:docPr id="1" name="Frame1"/>
                <a:graphic xmlns:a="http://schemas.openxmlformats.org/drawingml/2006/main">
                  <a:graphicData uri="http://schemas.microsoft.com/office/word/2010/wordprocessingShape">
                    <wps:wsp>
                      <wps:cNvSpPr txBox="1"/>
                      <wps:spPr>
                        <a:xfrm>
                          <a:off x="0" y="0"/>
                          <a:ext cx="6480175" cy="70485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7, 2026, Starz Entertainment Corp., a corporation organized under the laws of the province of British Columbia, Canada (hereinafter the “Company”), issued a press release announcing its financial results for the quarter ended June 30, 2026. A copy of the Company’s press release is being furnished herewith as Exhibit 99.1 and is incorporated herein by reference in its entirety.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366" w:type="dxa"/>
        <w:jc w:val="left"/>
        <w:tblInd w:w="0" w:type="dxa"/>
        <w:tblLayout w:type="fixed"/>
        <w:tblCellMar>
          <w:top w:w="28" w:type="dxa"/>
          <w:left w:w="28" w:type="dxa"/>
          <w:bottom w:w="28" w:type="dxa"/>
          <w:right w:w="28" w:type="dxa"/>
        </w:tblCellMar>
      </w:tblPr>
      <w:tblGrid>
        <w:gridCol w:w="277"/>
        <w:gridCol w:w="244"/>
        <w:gridCol w:w="245"/>
        <w:gridCol w:w="1933"/>
        <w:gridCol w:w="1933"/>
        <w:gridCol w:w="273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Number</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Description</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arzq226ex991earningsrele.htm">
              <w:r>
                <w:rPr>
                  <w:rStyle w:val="InternetLink"/>
                  <w:rFonts w:ascii="Times New Roman;serif" w:hAnsi="Times New Roman;serif"/>
                  <w:b w:val="false"/>
                  <w:color w:val="0000FF"/>
                  <w:sz w:val="20"/>
                  <w:u w:val="single"/>
                </w:rPr>
                <w:t>99.1</w:t>
              </w:r>
            </w:hyperlink>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tarzq226ex991earningsrele.htm">
              <w:r>
                <w:rPr>
                  <w:rStyle w:val="InternetLink"/>
                  <w:rFonts w:ascii="Times New Roman;serif" w:hAnsi="Times New Roman;serif"/>
                  <w:b w:val="false"/>
                  <w:color w:val="0000FF"/>
                  <w:sz w:val="20"/>
                  <w:u w:val="single"/>
                </w:rPr>
                <w:t>Press Release dated August 7, 2026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jc w:val="left"/>
        <w:rPr/>
      </w:pPr>
      <w:r>
        <w:rPr>
          <w:rFonts w:ascii="Times New Roman;serif" w:hAnsi="Times New Roman;serif"/>
          <w:b w:val="false"/>
          <w:color w:val="000000"/>
          <w:sz w:val="20"/>
        </w:rPr>
        <w:t xml:space="preserve">Pursuant to the requirements of the Securities Exchange Act of 1934, the Registrant has duly caused this report to be signed on its </w:t>
      </w:r>
      <w:r>
        <w:rPr>
          <w:rFonts w:ascii="Times New Roman;serif" w:hAnsi="Times New Roman;serif"/>
          <w:b w:val="false"/>
          <w:color w:val="000000"/>
          <w:sz w:val="20"/>
          <w:shd w:fill="FFFFFF" w:val="clear"/>
        </w:rPr>
        <w:t>behalf</w:t>
      </w:r>
      <w:r>
        <w:rPr>
          <w:color w:val="000000"/>
        </w:rPr>
        <w:t xml:space="preserve"> </w:t>
      </w:r>
      <w:r>
        <w:rPr>
          <w:rFonts w:ascii="Times New Roman;serif" w:hAnsi="Times New Roman;serif"/>
          <w:b w:val="false"/>
          <w:color w:val="000000"/>
          <w:sz w:val="20"/>
        </w:rPr>
        <w:t>by the undersigned hereunto duly authorized.</w:t>
      </w:r>
    </w:p>
    <w:tbl>
      <w:tblPr>
        <w:tblW w:w="5319" w:type="dxa"/>
        <w:jc w:val="center"/>
        <w:tblInd w:w="0" w:type="dxa"/>
        <w:tblLayout w:type="fixed"/>
        <w:tblCellMar>
          <w:top w:w="28" w:type="dxa"/>
          <w:left w:w="28" w:type="dxa"/>
          <w:bottom w:w="28" w:type="dxa"/>
          <w:right w:w="28" w:type="dxa"/>
        </w:tblCellMar>
      </w:tblPr>
      <w:tblGrid>
        <w:gridCol w:w="200"/>
        <w:gridCol w:w="177"/>
        <w:gridCol w:w="178"/>
        <w:gridCol w:w="224"/>
        <w:gridCol w:w="224"/>
        <w:gridCol w:w="224"/>
        <w:gridCol w:w="224"/>
        <w:gridCol w:w="224"/>
        <w:gridCol w:w="230"/>
        <w:gridCol w:w="373"/>
        <w:gridCol w:w="373"/>
        <w:gridCol w:w="373"/>
        <w:gridCol w:w="669"/>
        <w:gridCol w:w="669"/>
        <w:gridCol w:w="95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Starz Entertainment 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5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SCOTT MACDONALD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Macdonald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283"/>
        <w:jc w:val="center"/>
        <w:rPr/>
      </w:pPr>
      <w:r>
        <w:rPr/>
        <w:drawing>
          <wp:inline distT="0" distB="0" distL="0" distR="0">
            <wp:extent cx="2286000" cy="552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55245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212121"/>
          <w:sz w:val="20"/>
        </w:rPr>
        <w:t xml:space="preserve">Starz Entertainment Corp. Reports Results for the </w:t>
      </w:r>
      <w:r>
        <w:rPr>
          <w:rFonts w:ascii="Times New Roman;serif" w:hAnsi="Times New Roman;serif"/>
          <w:b/>
          <w:color w:val="000000"/>
          <w:sz w:val="20"/>
        </w:rPr>
        <w:t>Second Quarter Ended</w:t>
      </w:r>
      <w:r>
        <w:rPr>
          <w:color w:val="000000"/>
        </w:rPr>
        <w:t xml:space="preserve"> </w:t>
      </w:r>
      <w:r>
        <w:rPr>
          <w:rFonts w:ascii="Times New Roman;serif" w:hAnsi="Times New Roman;serif"/>
          <w:b/>
          <w:color w:val="000000"/>
          <w:sz w:val="20"/>
        </w:rPr>
        <w:t>June 30, 2026</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STARZ Increases 2026 Outlook for Adjusted OIBDA and Unlevered Free Cash Flow</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and Reaffirms Year-end Leverage Target of 2.7x</w:t>
      </w:r>
      <w:r>
        <w:rPr>
          <w:rFonts w:ascii="Times New Roman;serif" w:hAnsi="Times New Roman;serif"/>
          <w:b/>
          <w:color w:val="000000"/>
          <w:sz w:val="13"/>
        </w:rPr>
        <w:t>2</w:t>
      </w:r>
    </w:p>
    <w:p>
      <w:pPr>
        <w:pStyle w:val="TextBody"/>
        <w:bidi w:val="0"/>
        <w:spacing w:before="0" w:after="0"/>
        <w:jc w:val="center"/>
        <w:rPr/>
      </w:pPr>
      <w:r>
        <w:rPr/>
      </w:r>
    </w:p>
    <w:p>
      <w:pPr>
        <w:pStyle w:val="TextBody"/>
        <w:bidi w:val="0"/>
        <w:spacing w:lineRule="auto" w:line="288" w:before="0" w:after="0"/>
        <w:ind w:left="0" w:right="0" w:hanging="270"/>
        <w:jc w:val="left"/>
        <w:rPr/>
      </w:pPr>
      <w:r>
        <w:rPr>
          <w:color w:val="212121"/>
        </w:rPr>
        <w:t>•</w:t>
      </w:r>
      <w:r>
        <w:rPr>
          <w:rFonts w:ascii="Times New Roman;serif" w:hAnsi="Times New Roman;serif"/>
          <w:b w:val="false"/>
          <w:color w:val="212121"/>
          <w:sz w:val="20"/>
        </w:rPr>
        <w:t>Positive Year-over-Year OTT Revenue Growth</w:t>
      </w:r>
    </w:p>
    <w:p>
      <w:pPr>
        <w:pStyle w:val="TextBody"/>
        <w:bidi w:val="0"/>
        <w:spacing w:lineRule="auto" w:line="288" w:before="0" w:after="0"/>
        <w:ind w:left="0" w:right="0" w:hanging="270"/>
        <w:jc w:val="left"/>
        <w:rPr/>
      </w:pPr>
      <w:r>
        <w:rPr>
          <w:color w:val="212121"/>
        </w:rPr>
        <w:t>•</w:t>
      </w:r>
      <w:r>
        <w:rPr>
          <w:rFonts w:ascii="Times New Roman;serif" w:hAnsi="Times New Roman;serif"/>
          <w:b w:val="false"/>
          <w:color w:val="212121"/>
          <w:sz w:val="20"/>
        </w:rPr>
        <w:t>Raising 2026 Outlook Targets for Adjusted OIBDA and Unlevered Free Cash Flow</w:t>
      </w:r>
      <w:r>
        <w:rPr>
          <w:rFonts w:ascii="Times New Roman;serif" w:hAnsi="Times New Roman;serif"/>
          <w:b w:val="false"/>
          <w:color w:val="212121"/>
          <w:sz w:val="13"/>
        </w:rPr>
        <w:t>2</w:t>
      </w:r>
    </w:p>
    <w:p>
      <w:pPr>
        <w:pStyle w:val="TextBody"/>
        <w:bidi w:val="0"/>
        <w:spacing w:lineRule="auto" w:line="288" w:before="0" w:after="0"/>
        <w:ind w:left="0" w:right="0" w:hanging="270"/>
        <w:jc w:val="left"/>
        <w:rPr/>
      </w:pPr>
      <w:r>
        <w:rPr>
          <w:color w:val="212121"/>
        </w:rPr>
        <w:t>•</w:t>
      </w:r>
      <w:r>
        <w:rPr>
          <w:rFonts w:ascii="Times New Roman;serif" w:hAnsi="Times New Roman;serif"/>
          <w:b w:val="false"/>
          <w:color w:val="212121"/>
          <w:sz w:val="20"/>
        </w:rPr>
        <w:t>Reiterating 2026 Outlook Targets for Positive OTT Revenue Growth and 2.7x Adjusted OIBDA Leverage</w:t>
      </w:r>
      <w:r>
        <w:rPr>
          <w:rFonts w:ascii="Times New Roman;serif" w:hAnsi="Times New Roman;serif"/>
          <w:b w:val="false"/>
          <w:color w:val="212121"/>
          <w:sz w:val="13"/>
        </w:rPr>
        <w:t>2</w:t>
      </w:r>
    </w:p>
    <w:p>
      <w:pPr>
        <w:pStyle w:val="TextBody"/>
        <w:bidi w:val="0"/>
        <w:spacing w:lineRule="auto" w:line="288" w:before="0" w:after="0"/>
        <w:ind w:left="0" w:right="0" w:hanging="270"/>
        <w:jc w:val="left"/>
        <w:rPr/>
      </w:pPr>
      <w:r>
        <w:rPr>
          <w:color w:val="212121"/>
        </w:rPr>
        <w:t>•</w:t>
      </w:r>
      <w:r>
        <w:rPr>
          <w:rFonts w:ascii="Times New Roman;serif" w:hAnsi="Times New Roman;serif"/>
          <w:b w:val="false"/>
          <w:color w:val="212121"/>
          <w:sz w:val="20"/>
        </w:rPr>
        <w:t>Reiterating 20% Adjusted OIBDA Margin Outlook for the Second Half of 2027</w:t>
      </w:r>
      <w:r>
        <w:rPr>
          <w:rFonts w:ascii="Times New Roman;serif" w:hAnsi="Times New Roman;serif"/>
          <w:b w:val="false"/>
          <w:color w:val="212121"/>
          <w:sz w:val="13"/>
        </w:rPr>
        <w:t>2</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12121"/>
          <w:sz w:val="20"/>
        </w:rPr>
        <w:t xml:space="preserve">SANTA MONICA, CA, and VANCOUVER, B.C., </w:t>
      </w:r>
      <w:r>
        <w:rPr>
          <w:rFonts w:ascii="Times New Roman;serif" w:hAnsi="Times New Roman;serif"/>
          <w:b w:val="false"/>
          <w:color w:val="000000"/>
          <w:sz w:val="20"/>
        </w:rPr>
        <w:t>August 7, 2026</w:t>
      </w:r>
      <w:r>
        <w:rPr>
          <w:color w:val="212121"/>
        </w:rPr>
        <w:t xml:space="preserve"> – </w:t>
      </w:r>
      <w:r>
        <w:rPr>
          <w:rFonts w:ascii="Times New Roman;serif" w:hAnsi="Times New Roman;serif"/>
          <w:b w:val="false"/>
          <w:color w:val="212121"/>
          <w:sz w:val="20"/>
        </w:rPr>
        <w:t xml:space="preserve">STARZ (NASDAQ: STRZ) today reported results for the quarter ended </w:t>
      </w:r>
      <w:r>
        <w:rPr>
          <w:rFonts w:ascii="Times New Roman;serif" w:hAnsi="Times New Roman;serif"/>
          <w:b w:val="false"/>
          <w:color w:val="000000"/>
          <w:sz w:val="20"/>
        </w:rPr>
        <w:t>June 30, 2026</w:t>
      </w:r>
      <w:r>
        <w:rPr>
          <w:rFonts w:ascii="Times New Roman;serif" w:hAnsi="Times New Roman;serif"/>
          <w:b w:val="false"/>
          <w:color w:val="212121"/>
          <w:sz w:val="20"/>
        </w:rPr>
        <w:t>. This press release includes consolidated financial results for STARZ Entertainment Corp.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121"/>
          <w:sz w:val="20"/>
        </w:rPr>
      </w:pPr>
      <w:r>
        <w:rPr>
          <w:rFonts w:ascii="Times New Roman;serif" w:hAnsi="Times New Roman;serif"/>
          <w:b w:val="false"/>
          <w:color w:val="212121"/>
          <w:sz w:val="20"/>
        </w:rPr>
        <w:t>"Our second-quarter results reflect the momentum we are building across the business and the strength of our content portfolio," said STARZ President and CEO Jeffrey Hirsch. "We delivered another quarter of strong audience engagement and OTT revenue growth, and the success of the ‘Fightland’ premiere validates our ownership strategy. The progress we are making and our visibility into the back half of the year increase our confidence that 2026 is becoming a more meaningful inflection year for STARZ than we anticipated."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 xml:space="preserve">Summary of Second Quarter 2026 Financial </w:t>
      </w:r>
      <w:r>
        <w:rPr>
          <w:rFonts w:ascii="Times New Roman;serif" w:hAnsi="Times New Roman;serif"/>
          <w:b/>
          <w:color w:val="212121"/>
          <w:sz w:val="20"/>
          <w:u w:val="single"/>
        </w:rPr>
        <w:t>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 the quarter ended June 30, 2026, STARZ reported: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Revenue: $307.9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Operating loss: $(175.5) million due largely to a non-recurring restructuring charge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OIBDA</w:t>
      </w:r>
      <w:r>
        <w:rPr>
          <w:rFonts w:ascii="Times New Roman;serif" w:hAnsi="Times New Roman;serif"/>
          <w:b w:val="false"/>
          <w:color w:val="000000"/>
          <w:sz w:val="13"/>
        </w:rPr>
        <w:t>1</w:t>
      </w:r>
      <w:r>
        <w:rPr>
          <w:rFonts w:ascii="Times New Roman;serif" w:hAnsi="Times New Roman;serif"/>
          <w:b w:val="false"/>
          <w:color w:val="000000"/>
          <w:sz w:val="20"/>
        </w:rPr>
        <w:t>: $59.9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cash used in operating activities: $(28.2)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Unlevered Free Cash Flow</w:t>
      </w:r>
      <w:r>
        <w:rPr>
          <w:rFonts w:ascii="Times New Roman;serif" w:hAnsi="Times New Roman;serif"/>
          <w:b w:val="false"/>
          <w:color w:val="000000"/>
          <w:sz w:val="13"/>
        </w:rPr>
        <w:t>1</w:t>
      </w:r>
      <w:r>
        <w:rPr>
          <w:rFonts w:ascii="Times New Roman;serif" w:hAnsi="Times New Roman;serif"/>
          <w:b w:val="false"/>
          <w:color w:val="000000"/>
          <w:sz w:val="20"/>
        </w:rPr>
        <w:t>: $(14.7)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Equity Free Cash Flow</w:t>
      </w:r>
      <w:r>
        <w:rPr>
          <w:rFonts w:ascii="Times New Roman;serif" w:hAnsi="Times New Roman;serif"/>
          <w:b w:val="false"/>
          <w:color w:val="000000"/>
          <w:sz w:val="13"/>
        </w:rPr>
        <w:t>1</w:t>
      </w:r>
      <w:r>
        <w:rPr>
          <w:rFonts w:ascii="Times New Roman;serif" w:hAnsi="Times New Roman;serif"/>
          <w:b w:val="false"/>
          <w:color w:val="000000"/>
          <w:sz w:val="20"/>
        </w:rPr>
        <w:t>: $(33.4)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 of June 30, 2026, key balance sheet metrics included: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Cash and cash equivalents: $59.6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Total debt: $625.1 million, including a $300.0 million Term Loan A credit facility and $325.1 million in senior unsecured notes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debt</w:t>
      </w:r>
      <w:r>
        <w:rPr>
          <w:rFonts w:ascii="Times New Roman;serif" w:hAnsi="Times New Roman;serif"/>
          <w:b w:val="false"/>
          <w:color w:val="000000"/>
          <w:sz w:val="13"/>
        </w:rPr>
        <w:t>1</w:t>
      </w:r>
      <w:r>
        <w:rPr>
          <w:rFonts w:ascii="Times New Roman;serif" w:hAnsi="Times New Roman;serif"/>
          <w:b w:val="false"/>
          <w:color w:val="000000"/>
          <w:sz w:val="20"/>
        </w:rPr>
        <w:t>: $565.5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OIBDA Leverage Ratio</w:t>
      </w:r>
      <w:r>
        <w:rPr>
          <w:rFonts w:ascii="Times New Roman;serif" w:hAnsi="Times New Roman;serif"/>
          <w:b w:val="false"/>
          <w:color w:val="000000"/>
          <w:sz w:val="13"/>
        </w:rPr>
        <w:t>3</w:t>
      </w:r>
      <w:r>
        <w:rPr>
          <w:rFonts w:ascii="Times New Roman;serif" w:hAnsi="Times New Roman;serif"/>
          <w:b w:val="false"/>
          <w:color w:val="000000"/>
          <w:sz w:val="20"/>
        </w:rPr>
        <w:t>: 2.9x (trailing twelve months)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The Company’s $150.0 million revolving credit facility remained fully undrawn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Reiterating outlook for positive year-over-year OTT revenue growth</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Raising Adjusted OIBDA growth outlook from low-single-digits to mid-single-digits</w:t>
      </w:r>
      <w:r>
        <w:rPr>
          <w:rFonts w:ascii="Times New Roman;serif" w:hAnsi="Times New Roman;serif"/>
          <w:b w:val="false"/>
          <w:color w:val="000000"/>
          <w:sz w:val="13"/>
        </w:rPr>
        <w:t>2</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Raising Unlevered Free Cash Flow outlook from between $80 million and $120 million to the mid-to-upper end of the range</w:t>
      </w:r>
      <w:r>
        <w:rPr>
          <w:rFonts w:ascii="Times New Roman;serif" w:hAnsi="Times New Roman;serif"/>
          <w:b w:val="false"/>
          <w:color w:val="000000"/>
          <w:sz w:val="13"/>
        </w:rPr>
        <w:t>2</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Reiterating Adjusted OIBDA Leverage Ratio outlook exiting 2026 estimated to be approximately 2.7x</w:t>
      </w:r>
      <w:r>
        <w:rPr>
          <w:rFonts w:ascii="Times New Roman;serif" w:hAnsi="Times New Roman;serif"/>
          <w:b w:val="false"/>
          <w:color w:val="000000"/>
          <w:sz w:val="13"/>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026920"/>
                <wp:effectExtent l="0" t="0" r="0" b="0"/>
                <wp:wrapNone/>
                <wp:docPr id="5" name="Frame4"/>
                <a:graphic xmlns:a="http://schemas.openxmlformats.org/drawingml/2006/main">
                  <a:graphicData uri="http://schemas.microsoft.com/office/word/2010/wordprocessingShape">
                    <wps:wsp>
                      <wps:cNvSpPr txBox="1"/>
                      <wps:spPr>
                        <a:xfrm>
                          <a:off x="0" y="0"/>
                          <a:ext cx="6480175" cy="2026920"/>
                        </a:xfrm>
                        <a:prstGeom prst="rect"/>
                        <a:solidFill>
                          <a:srgbClr val="FFFFFF"/>
                        </a:solidFill>
                      </wps:spPr>
                      <wps:txbx>
                        <w:txbxContent>
                          <w:p>
                            <w:pPr>
                              <w:pStyle w:val="TextBody"/>
                              <w:bidi w:val="0"/>
                              <w:spacing w:lineRule="auto" w:line="288" w:before="0" w:after="0"/>
                              <w:ind w:left="0" w:right="0" w:hanging="270"/>
                              <w:jc w:val="left"/>
                              <w:rPr/>
                            </w:pPr>
                            <w:r>
                              <w:rPr>
                                <w:rFonts w:ascii="Times New Roman;serif" w:hAnsi="Times New Roman;serif"/>
                                <w:b w:val="false"/>
                                <w:i/>
                                <w:color w:val="000000"/>
                                <w:sz w:val="10"/>
                              </w:rPr>
                              <w:t>1</w:t>
                            </w:r>
                            <w:r>
                              <w:rPr>
                                <w:color w:val="000000"/>
                              </w:rPr>
                              <w:t>    </w:t>
                            </w:r>
                            <w:r>
                              <w:rPr>
                                <w:rFonts w:ascii="Times New Roman;serif" w:hAnsi="Times New Roman;serif"/>
                                <w:b w:val="false"/>
                                <w:i/>
                                <w:color w:val="000000"/>
                                <w:sz w:val="16"/>
                              </w:rPr>
                              <w:t xml:space="preserve">See “Use of Non-GAAP Financial Measures” for a definition of Adjusted OIBDA, Unlevered Free Cash Flow, Equity Free Cash Flow, and Net Debt. See “Reconciliation of Operating Loss to Adjusted OIBDA” and “Key Performance Indicators” for the related reconciliations to the most directly comparable GAAP measures. </w:t>
                            </w:r>
                            <w:r>
                              <w:br w:type="page"/>
                            </w:r>
                          </w:p>
                          <w:p>
                            <w:pPr>
                              <w:pStyle w:val="TextBody"/>
                              <w:bidi w:val="0"/>
                              <w:spacing w:lineRule="auto" w:line="288" w:before="0" w:after="0"/>
                              <w:ind w:left="0" w:right="0" w:hanging="270"/>
                              <w:jc w:val="both"/>
                              <w:rPr/>
                            </w:pPr>
                            <w:r>
                              <w:rPr>
                                <w:rFonts w:ascii="Times New Roman;serif" w:hAnsi="Times New Roman;serif"/>
                                <w:b w:val="false"/>
                                <w:i/>
                                <w:color w:val="000000"/>
                                <w:sz w:val="10"/>
                              </w:rPr>
                              <w:t>2</w:t>
                            </w:r>
                            <w:r>
                              <w:rPr>
                                <w:color w:val="000000"/>
                              </w:rPr>
                              <w:t>    </w:t>
                            </w:r>
                            <w:r>
                              <w:rPr>
                                <w:rFonts w:ascii="Times New Roman;serif" w:hAnsi="Times New Roman;serif"/>
                                <w:b w:val="false"/>
                                <w:i/>
                                <w:color w:val="000000"/>
                                <w:sz w:val="16"/>
                              </w:rPr>
                              <w:t xml:space="preserve">The forecasted Operating Income (Loss) and net cash flows provided by operating activities are not reasonably estimable due to the nature of certain individual items: restructuring and other, and adjusted share-based compensation expense. The variability of these items could have a significant impact on our future GAAP financial results. The Company is not providing any 2026 outlook for GAAP financial measures other than OTT revenue growth, nor can the Company provide quantitative reconciliation to the most directly comparable GAAP measures for its forward-looking non-GAAP financial measures in its 2026 outlook because the GAAP measures cannot be reliably estimated and the reconciliations cannot be performed without unreasonable effort due to their dependence on future uncertainties and adjusting items that the Company cannot control or reasonably predict at this time but which may be material. Please see “Use of Non-GAAP Financial Measures” for additional information. </w:t>
                            </w:r>
                          </w:p>
                          <w:p>
                            <w:pPr>
                              <w:pStyle w:val="TextBody"/>
                              <w:bidi w:val="0"/>
                              <w:spacing w:lineRule="auto" w:line="288" w:before="0" w:after="0"/>
                              <w:ind w:left="0" w:right="0" w:hanging="270"/>
                              <w:jc w:val="both"/>
                              <w:rPr/>
                            </w:pP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Total Adjusted OIBDA Leverage Ratio of 2.9x is calculated based on total Adjusted OIBDA of $195.2 million for the trailing twelve-month period ended June 30, 2026. Refer to “Reconciliation of Operating Loss to Adjusted OIBDA” section for further detail.</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9.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70"/>
                        <w:jc w:val="left"/>
                        <w:rPr/>
                      </w:pPr>
                      <w:r>
                        <w:rPr>
                          <w:rFonts w:ascii="Times New Roman;serif" w:hAnsi="Times New Roman;serif"/>
                          <w:b w:val="false"/>
                          <w:i/>
                          <w:color w:val="000000"/>
                          <w:sz w:val="10"/>
                        </w:rPr>
                        <w:t>1</w:t>
                      </w:r>
                      <w:r>
                        <w:rPr>
                          <w:color w:val="000000"/>
                        </w:rPr>
                        <w:t>    </w:t>
                      </w:r>
                      <w:r>
                        <w:rPr>
                          <w:rFonts w:ascii="Times New Roman;serif" w:hAnsi="Times New Roman;serif"/>
                          <w:b w:val="false"/>
                          <w:i/>
                          <w:color w:val="000000"/>
                          <w:sz w:val="16"/>
                        </w:rPr>
                        <w:t xml:space="preserve">See “Use of Non-GAAP Financial Measures” for a definition of Adjusted OIBDA, Unlevered Free Cash Flow, Equity Free Cash Flow, and Net Debt. See “Reconciliation of Operating Loss to Adjusted OIBDA” and “Key Performance Indicators” for the related reconciliations to the most directly comparable GAAP measures. </w:t>
                      </w:r>
                    </w:p>
                    <w:p>
                      <w:pPr>
                        <w:pStyle w:val="TextBody"/>
                        <w:bidi w:val="0"/>
                        <w:spacing w:lineRule="auto" w:line="288" w:before="0" w:after="0"/>
                        <w:ind w:left="0" w:right="0" w:hanging="270"/>
                        <w:jc w:val="both"/>
                        <w:rPr/>
                      </w:pPr>
                      <w:r>
                        <w:rPr>
                          <w:rFonts w:ascii="Times New Roman;serif" w:hAnsi="Times New Roman;serif"/>
                          <w:b w:val="false"/>
                          <w:i/>
                          <w:color w:val="000000"/>
                          <w:sz w:val="10"/>
                        </w:rPr>
                        <w:t>2</w:t>
                      </w:r>
                      <w:r>
                        <w:rPr>
                          <w:color w:val="000000"/>
                        </w:rPr>
                        <w:t>    </w:t>
                      </w:r>
                      <w:r>
                        <w:rPr>
                          <w:rFonts w:ascii="Times New Roman;serif" w:hAnsi="Times New Roman;serif"/>
                          <w:b w:val="false"/>
                          <w:i/>
                          <w:color w:val="000000"/>
                          <w:sz w:val="16"/>
                        </w:rPr>
                        <w:t xml:space="preserve">The forecasted Operating Income (Loss) and net cash flows provided by operating activities are not reasonably estimable due to the nature of certain individual items: restructuring and other, and adjusted share-based compensation expense. The variability of these items could have a significant impact on our future GAAP financial results. The Company is not providing any 2026 outlook for GAAP financial measures other than OTT revenue growth, nor can the Company provide quantitative reconciliation to the most directly comparable GAAP measures for its forward-looking non-GAAP financial measures in its 2026 outlook because the GAAP measures cannot be reliably estimated and the reconciliations cannot be performed without unreasonable effort due to their dependence on future uncertainties and adjusting items that the Company cannot control or reasonably predict at this time but which may be material. Please see “Use of Non-GAAP Financial Measures” for additional information. </w:t>
                      </w:r>
                    </w:p>
                    <w:p>
                      <w:pPr>
                        <w:pStyle w:val="TextBody"/>
                        <w:bidi w:val="0"/>
                        <w:spacing w:lineRule="auto" w:line="288" w:before="0" w:after="0"/>
                        <w:ind w:left="0" w:right="0" w:hanging="270"/>
                        <w:jc w:val="both"/>
                        <w:rPr/>
                      </w:pP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Total Adjusted OIBDA Leverage Ratio of 2.9x is calculated based on total Adjusted OIBDA of $195.2 million for the trailing twelve-month period ended June 30, 2026. Refer to “Reconciliation of Operating Loss to Adjusted OIBDA” section for further detail.</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212121"/>
          <w:sz w:val="20"/>
        </w:rPr>
        <w:t xml:space="preserve">As previously announced, STARZ senior management will hold its analyst and investor conference call to discuss results for the </w:t>
      </w:r>
      <w:r>
        <w:rPr>
          <w:rFonts w:ascii="Times New Roman;serif" w:hAnsi="Times New Roman;serif"/>
          <w:b w:val="false"/>
          <w:color w:val="000000"/>
          <w:sz w:val="20"/>
        </w:rPr>
        <w:t>quarter ended</w:t>
      </w:r>
      <w:r>
        <w:rPr>
          <w:color w:val="212121"/>
        </w:rPr>
        <w:t xml:space="preserve"> </w:t>
      </w:r>
      <w:r>
        <w:rPr>
          <w:rFonts w:ascii="Times New Roman;serif" w:hAnsi="Times New Roman;serif"/>
          <w:b w:val="false"/>
          <w:color w:val="000000"/>
          <w:sz w:val="20"/>
        </w:rPr>
        <w:t>June 30, 2026</w:t>
      </w:r>
      <w:r>
        <w:rPr>
          <w:rFonts w:ascii="Times New Roman;serif" w:hAnsi="Times New Roman;serif"/>
          <w:b w:val="false"/>
          <w:color w:val="212121"/>
          <w:sz w:val="20"/>
        </w:rPr>
        <w:t xml:space="preserve">, today, Friday, </w:t>
      </w:r>
      <w:r>
        <w:rPr>
          <w:rFonts w:ascii="Times New Roman;serif" w:hAnsi="Times New Roman;serif"/>
          <w:b w:val="false"/>
          <w:color w:val="000000"/>
          <w:sz w:val="20"/>
        </w:rPr>
        <w:t>August 7, 2026,</w:t>
      </w:r>
      <w:r>
        <w:rPr>
          <w:color w:val="212121"/>
        </w:rPr>
        <w:t xml:space="preserve"> </w:t>
      </w:r>
      <w:r>
        <w:rPr>
          <w:rFonts w:ascii="Times New Roman;serif" w:hAnsi="Times New Roman;serif"/>
          <w:b w:val="false"/>
          <w:color w:val="212121"/>
          <w:sz w:val="20"/>
        </w:rPr>
        <w:t xml:space="preserve">at 8:00 a.m. ET / 5:00 a.m. PT. Interested parties may listen to the live webcast by visiting the events page on the STARZ Investor Relations </w:t>
      </w:r>
      <w:r>
        <w:rPr>
          <w:rFonts w:ascii="Times New Roman;serif" w:hAnsi="Times New Roman;serif"/>
          <w:b w:val="false"/>
          <w:color w:val="000000"/>
          <w:sz w:val="20"/>
        </w:rPr>
        <w:t>website</w:t>
      </w:r>
      <w:r>
        <w:rPr>
          <w:rFonts w:ascii="Times New Roman;serif" w:hAnsi="Times New Roman;serif"/>
          <w:b w:val="false"/>
          <w:color w:val="212121"/>
          <w:sz w:val="20"/>
        </w:rPr>
        <w:t>. A full replay will become available this evening at the same link.</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STARZ</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STARZ is the leading premium entertainment destination for women and underrepresented audiences, and home to some of the most popular franchises and series on television. STARZ offers a robust programming mix for discerning adult audiences, including boundary-breaking originals and an expansive lineup of blockbuster movies, and is embodied by its brand positioning “We’re All Adults Here.” Complementary to any platform or service, STARZ is available across a wide range of digital OTT platforms and multichannel video distributors and is a bundling partner of choice. STARZ is powered by an industry-leading advanced technology, data analytics and digital infrastructure and the highly rated and first-of-its-kind STARZ app.</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Investor Inquiries </w:t>
      </w:r>
      <w:r>
        <w:rPr>
          <w:color w:val="212121"/>
        </w:rPr>
        <w:t>–</w:t>
      </w:r>
      <w:r>
        <w:rPr>
          <w:color w:val="000000"/>
        </w:rPr>
        <w:t xml:space="preserve"> </w:t>
      </w:r>
      <w:r>
        <w:rPr>
          <w:rFonts w:ascii="Times New Roman;serif" w:hAnsi="Times New Roman;serif"/>
          <w:b/>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Nilay Shah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nilay.shah@starz.com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Press Inquiries </w:t>
      </w:r>
      <w:r>
        <w:rPr>
          <w:color w:val="212121"/>
        </w:rPr>
        <w:t>–</w:t>
      </w:r>
      <w:r>
        <w:rPr>
          <w:color w:val="000000"/>
        </w:rPr>
        <w:t xml:space="preserve"> </w:t>
      </w:r>
      <w:r>
        <w:rPr>
          <w:rFonts w:ascii="Times New Roman;serif" w:hAnsi="Times New Roman;serif"/>
          <w:b/>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Jennifer Minezaki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jennifer.minezaki@starz.com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212121"/>
          <w:sz w:val="20"/>
        </w:rPr>
      </w:pPr>
      <w:r>
        <w:rPr>
          <w:rFonts w:ascii="Times New Roman;serif" w:hAnsi="Times New Roman;serif"/>
          <w:b w:val="false"/>
          <w:i/>
          <w:color w:val="212121"/>
          <w:sz w:val="20"/>
        </w:rPr>
        <w:t>The matters discussed in this press release include forward-looking statements, including those regarding expected future performance. Such statements are subject to a number of risks and uncertainties. Actual results in the future could differ materially and adversely from those described in the forward-looking statements as a result of various important factors, including, but not limited to: the benefits of the separation of Lionsgate's Studios Business and Lionsgate's STARZ Business (the “Separation”); unexpected costs related to the Separation; the substantial investment of capital required to produce and market films and television series; budget overruns; limitations imposed by our credit facilities and notes; unpredictability of the commercial success of our programming; risks related to acquisition and integration of acquired businesses; the effects of dispositions of businesses or assets, including individual films or libraries; the cost of defending our intellectual property; technological changes and other trends affecting the entertainment industry; potential adverse reactions or changes to business or employee relationships; the impact of global pandemics on our business; weakness in the global economy and financial markets, including a recession and past and future bank failures; wars, terrorism and multiple international conflicts that could cause significant economic disruption and political and social instability; labor disruptions and strikes; and the other risk factors set forth in STARZ’s Annual Report on Form 10-KT filed with the Securities and Exchange Commission. The Company undertakes no obligation to publicly release the result of any revisions to these forward-looking statements that may be made to reflect any future events or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STARZ ENTERTAINMENT CORP.</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147.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911"/>
        <w:gridCol w:w="2428"/>
        <w:gridCol w:w="2443"/>
        <w:gridCol w:w="196"/>
        <w:gridCol w:w="691"/>
        <w:gridCol w:w="109"/>
        <w:gridCol w:w="109"/>
        <w:gridCol w:w="109"/>
        <w:gridCol w:w="109"/>
        <w:gridCol w:w="206"/>
        <w:gridCol w:w="730"/>
        <w:gridCol w:w="164"/>
      </w:tblGrid>
      <w:tr>
        <w:trPr/>
        <w:tc>
          <w:tcPr>
            <w:tcW w:w="291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8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82"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7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including other receivables of $17.5 million and $9.9 million as of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content,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payables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Residuals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Contingencies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no par value, unlimited authorized, 16.8 million and 16.7 million shares issued and outstanding as of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Parent net investment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STARZ ENTERTAINMENT CORP.</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147.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2016"/>
        <w:gridCol w:w="1744"/>
        <w:gridCol w:w="1758"/>
        <w:gridCol w:w="196"/>
        <w:gridCol w:w="627"/>
        <w:gridCol w:w="109"/>
        <w:gridCol w:w="109"/>
        <w:gridCol w:w="109"/>
        <w:gridCol w:w="109"/>
        <w:gridCol w:w="196"/>
        <w:gridCol w:w="556"/>
        <w:gridCol w:w="109"/>
        <w:gridCol w:w="109"/>
        <w:gridCol w:w="109"/>
        <w:gridCol w:w="109"/>
        <w:gridCol w:w="196"/>
        <w:gridCol w:w="627"/>
        <w:gridCol w:w="109"/>
        <w:gridCol w:w="109"/>
        <w:gridCol w:w="109"/>
        <w:gridCol w:w="109"/>
        <w:gridCol w:w="196"/>
        <w:gridCol w:w="627"/>
        <w:gridCol w:w="158"/>
      </w:tblGrid>
      <w:tr>
        <w:trPr/>
        <w:tc>
          <w:tcPr>
            <w:tcW w:w="201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 except per share amounts)</w:t>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Linear and other revenue</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amortization</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w:t>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continuing operations</w:t>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from continuing operations</w:t>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from discontinued operations, net of income taxes</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information attributable to Starz Entertainment Corp.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common share -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income per common share - discontinued operations</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common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STARZ ENTERTAINMENT CORP.</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147.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tbl>
      <w:tblPr>
        <w:tblW w:w="7703" w:type="dxa"/>
        <w:jc w:val="center"/>
        <w:tblInd w:w="0" w:type="dxa"/>
        <w:tblLayout w:type="fixed"/>
        <w:tblCellMar>
          <w:top w:w="28" w:type="dxa"/>
          <w:left w:w="28" w:type="dxa"/>
          <w:bottom w:w="28" w:type="dxa"/>
          <w:right w:w="28" w:type="dxa"/>
        </w:tblCellMar>
      </w:tblPr>
      <w:tblGrid>
        <w:gridCol w:w="1975"/>
        <w:gridCol w:w="1735"/>
        <w:gridCol w:w="1749"/>
        <w:gridCol w:w="196"/>
        <w:gridCol w:w="631"/>
        <w:gridCol w:w="109"/>
        <w:gridCol w:w="109"/>
        <w:gridCol w:w="109"/>
        <w:gridCol w:w="109"/>
        <w:gridCol w:w="196"/>
        <w:gridCol w:w="631"/>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continuing operations, net of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financing costs and other non-cash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content impairment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paid for programming content</w:t>
            </w:r>
            <w:r>
              <w:rPr>
                <w:rFonts w:ascii="Times New Roman;serif" w:hAnsi="Times New Roman;serif"/>
                <w:b w:val="false"/>
                <w:color w:val="000000"/>
                <w:sz w:val="10"/>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LG Studios Business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flows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purchase price of receivables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Lionsgate revolving credit facility – increases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Lionsgate revolving credit facility – decreases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flows (used in)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related obligations –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related obligations – repayments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of Exchange Notes to New Lionsgate upon Separation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 borrowings, net of debt issuance and redemption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repayments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Parent net 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flows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Cash paid for programming content for the six months ended June 30, 2026 includes $157.1 million from the licensing of program rights from the LG Studios Business.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STARZ ENTERTAINMENT CORP.</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147.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212121"/>
          <w:sz w:val="20"/>
        </w:rPr>
      </w:pPr>
      <w:r>
        <w:rPr>
          <w:rFonts w:ascii="Times New Roman;serif" w:hAnsi="Times New Roman;serif"/>
          <w:b/>
          <w:color w:val="212121"/>
          <w:sz w:val="20"/>
        </w:rPr>
        <w:t>RECONCILIATION OF OPERATING LOSS TO ADJUSTED OIBDA</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119"/>
        <w:gridCol w:w="709"/>
        <w:gridCol w:w="711"/>
        <w:gridCol w:w="196"/>
        <w:gridCol w:w="512"/>
        <w:gridCol w:w="109"/>
        <w:gridCol w:w="109"/>
        <w:gridCol w:w="109"/>
        <w:gridCol w:w="109"/>
        <w:gridCol w:w="250"/>
        <w:gridCol w:w="621"/>
        <w:gridCol w:w="139"/>
        <w:gridCol w:w="109"/>
        <w:gridCol w:w="109"/>
        <w:gridCol w:w="109"/>
        <w:gridCol w:w="244"/>
        <w:gridCol w:w="584"/>
        <w:gridCol w:w="137"/>
        <w:gridCol w:w="109"/>
        <w:gridCol w:w="109"/>
        <w:gridCol w:w="109"/>
        <w:gridCol w:w="196"/>
        <w:gridCol w:w="602"/>
        <w:gridCol w:w="109"/>
        <w:gridCol w:w="109"/>
        <w:gridCol w:w="109"/>
        <w:gridCol w:w="109"/>
        <w:gridCol w:w="196"/>
        <w:gridCol w:w="602"/>
        <w:gridCol w:w="109"/>
        <w:gridCol w:w="109"/>
        <w:gridCol w:w="109"/>
        <w:gridCol w:w="109"/>
        <w:gridCol w:w="289"/>
        <w:gridCol w:w="902"/>
        <w:gridCol w:w="234"/>
      </w:tblGrid>
      <w:tr>
        <w:trPr/>
        <w:tc>
          <w:tcPr>
            <w:tcW w:w="111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Trailing Twelve Months</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4"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(367.8)</w:t>
            </w:r>
          </w:p>
        </w:tc>
        <w:tc>
          <w:tcPr>
            <w:tcW w:w="234" w:type="dxa"/>
            <w:tcBorders>
              <w:right w:val="single" w:sz="8" w:space="0" w:color="000000"/>
            </w:tcBorders>
            <w:shd w:fill="CCEEFF" w:val="clear"/>
            <w:tcMar>
              <w:top w:w="0" w:type="dxa"/>
              <w:left w:w="0" w:type="dxa"/>
              <w:bottom w:w="0" w:type="dxa"/>
            </w:tcMar>
            <w:vAlign w:val="center"/>
          </w:tcPr>
          <w:p>
            <w:pPr>
              <w:pStyle w:val="TableContents"/>
              <w:bidi w:val="0"/>
              <w:spacing w:before="0" w:after="283"/>
              <w:ind w:left="0" w:right="0" w:hanging="270"/>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23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70"/>
              <w:jc w:val="left"/>
              <w:rPr/>
            </w:pPr>
            <w:r>
              <w:rPr>
                <w:rFonts w:ascii="Times New Roman;serif" w:hAnsi="Times New Roman;serif"/>
                <w:b w:val="false"/>
                <w:color w:val="000000"/>
                <w:sz w:val="18"/>
              </w:rPr>
              <w:t>Restructuring and other</w:t>
            </w:r>
            <w:r>
              <w:rPr>
                <w:rFonts w:ascii="Times New Roman;serif" w:hAnsi="Times New Roman;serif"/>
                <w:b w:val="false"/>
                <w:color w:val="000000"/>
                <w:sz w:val="12"/>
              </w:rPr>
              <w:t>(1)</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304.7 </w:t>
            </w:r>
          </w:p>
        </w:tc>
        <w:tc>
          <w:tcPr>
            <w:tcW w:w="23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270"/>
              <w:jc w:val="left"/>
              <w:rPr/>
            </w:pPr>
            <w:r>
              <w:rPr>
                <w:rFonts w:ascii="Times New Roman;serif" w:hAnsi="Times New Roman;serif"/>
                <w:b w:val="false"/>
                <w:color w:val="000000"/>
                <w:sz w:val="18"/>
              </w:rPr>
              <w:t>Adjusted share-based compensation expense</w:t>
            </w:r>
            <w:r>
              <w:rPr>
                <w:rFonts w:ascii="Times New Roman;serif" w:hAnsi="Times New Roman;serif"/>
                <w:b w:val="false"/>
                <w:color w:val="000000"/>
                <w:sz w:val="12"/>
              </w:rPr>
              <w:t>(2)</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3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720"/>
              <w:jc w:val="left"/>
              <w:rPr/>
            </w:pPr>
            <w:r>
              <w:rPr>
                <w:rFonts w:ascii="Times New Roman;serif" w:hAnsi="Times New Roman;serif"/>
                <w:b/>
                <w:color w:val="000000"/>
                <w:sz w:val="18"/>
              </w:rPr>
              <w:t>Adjusted OIBDA</w:t>
            </w:r>
            <w:r>
              <w:rPr>
                <w:rFonts w:ascii="Times New Roman;serif" w:hAnsi="Times New Roman;serif"/>
                <w:b/>
                <w:color w:val="000000"/>
                <w:sz w:val="12"/>
              </w:rPr>
              <w:t>(3)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234" w:type="dxa"/>
            <w:tcBorders>
              <w:top w:val="single" w:sz="8" w:space="0" w:color="000000"/>
              <w:bottom w:val="doub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25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253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Restructuring and other includes restructuring costs, certain transaction-related and other expenses, and unusual items, when applicable, as shown in the table below: </w:t>
      </w:r>
    </w:p>
    <w:tbl>
      <w:tblPr>
        <w:tblW w:w="10205" w:type="dxa"/>
        <w:jc w:val="left"/>
        <w:tblInd w:w="0" w:type="dxa"/>
        <w:tblLayout w:type="fixed"/>
        <w:tblCellMar>
          <w:top w:w="28" w:type="dxa"/>
          <w:left w:w="28" w:type="dxa"/>
          <w:bottom w:w="28" w:type="dxa"/>
          <w:right w:w="28" w:type="dxa"/>
        </w:tblCellMar>
      </w:tblPr>
      <w:tblGrid>
        <w:gridCol w:w="808"/>
        <w:gridCol w:w="697"/>
        <w:gridCol w:w="700"/>
        <w:gridCol w:w="196"/>
        <w:gridCol w:w="442"/>
        <w:gridCol w:w="109"/>
        <w:gridCol w:w="109"/>
        <w:gridCol w:w="109"/>
        <w:gridCol w:w="109"/>
        <w:gridCol w:w="303"/>
        <w:gridCol w:w="629"/>
        <w:gridCol w:w="169"/>
        <w:gridCol w:w="109"/>
        <w:gridCol w:w="109"/>
        <w:gridCol w:w="109"/>
        <w:gridCol w:w="303"/>
        <w:gridCol w:w="583"/>
        <w:gridCol w:w="169"/>
        <w:gridCol w:w="109"/>
        <w:gridCol w:w="109"/>
        <w:gridCol w:w="109"/>
        <w:gridCol w:w="196"/>
        <w:gridCol w:w="556"/>
        <w:gridCol w:w="109"/>
        <w:gridCol w:w="109"/>
        <w:gridCol w:w="109"/>
        <w:gridCol w:w="109"/>
        <w:gridCol w:w="196"/>
        <w:gridCol w:w="556"/>
        <w:gridCol w:w="109"/>
        <w:gridCol w:w="109"/>
        <w:gridCol w:w="109"/>
        <w:gridCol w:w="109"/>
        <w:gridCol w:w="375"/>
        <w:gridCol w:w="1066"/>
        <w:gridCol w:w="299"/>
      </w:tblGrid>
      <w:tr>
        <w:trPr/>
        <w:tc>
          <w:tcPr>
            <w:tcW w:w="80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Trailing Twelve Months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3"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Content impairments</w:t>
            </w:r>
            <w:r>
              <w:rPr>
                <w:rFonts w:ascii="Times New Roman;serif" w:hAnsi="Times New Roman;serif"/>
                <w:b w:val="false"/>
                <w:color w:val="000000"/>
                <w:sz w:val="12"/>
              </w:rPr>
              <w:t>(a)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29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termination fees</w:t>
            </w:r>
            <w:r>
              <w:rPr>
                <w:rFonts w:ascii="Times New Roman;serif" w:hAnsi="Times New Roman;serif"/>
                <w:b w:val="false"/>
                <w:color w:val="000000"/>
                <w:sz w:val="12"/>
              </w:rPr>
              <w:t>(b)</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147.2 </w:t>
            </w:r>
          </w:p>
        </w:tc>
        <w:tc>
          <w:tcPr>
            <w:tcW w:w="29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and other costs</w:t>
            </w:r>
            <w:r>
              <w:rPr>
                <w:rFonts w:ascii="Times New Roman;serif" w:hAnsi="Times New Roman;serif"/>
                <w:b w:val="false"/>
                <w:color w:val="000000"/>
                <w:sz w:val="12"/>
              </w:rPr>
              <w:t>(c)</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29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w:t>
            </w:r>
            <w:r>
              <w:rPr>
                <w:rFonts w:ascii="Times New Roman;serif" w:hAnsi="Times New Roman;serif"/>
                <w:b w:val="false"/>
                <w:color w:val="000000"/>
                <w:sz w:val="12"/>
              </w:rPr>
              <w:t>(d)</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99"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(e)</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99"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restructuring and other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304.7 </w:t>
            </w:r>
          </w:p>
        </w:tc>
        <w:tc>
          <w:tcPr>
            <w:tcW w:w="299"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During 2025 and 2026, Starz undertook actions to rationalize its content portfolio as part of its ongoing efforts to right</w:t>
        <w:noBreakHyphen/>
        <w:t>size its content cost structure in response to the evolving macroeconomic and industry environment, including continued declines in traditional linear services, impairments associated with changes in the Canadian operating model and in connection with becoming and operating as a standalone company following the Separation. These actions included evaluating programming on the Starz Platform, cancelling certain previously ordered programming, and removing and abandoning content determined to have limited strategic value.</w:t>
      </w:r>
    </w:p>
    <w:p>
      <w:pPr>
        <w:pStyle w:val="TextBody"/>
        <w:bidi w:val="0"/>
        <w:spacing w:lineRule="auto" w:line="288" w:before="120" w:after="283"/>
        <w:ind w:left="0" w:right="0" w:hanging="360"/>
        <w:jc w:val="both"/>
        <w:rPr/>
      </w:pPr>
      <w:r>
        <w:rPr>
          <w:rFonts w:ascii="Times New Roman;serif" w:hAnsi="Times New Roman;serif"/>
          <w:b w:val="false"/>
          <w:color w:val="000000"/>
          <w:sz w:val="12"/>
        </w:rPr>
        <w:t>(b)</w:t>
      </w:r>
      <w:r>
        <w:rPr>
          <w:rFonts w:ascii="Times New Roman;serif" w:hAnsi="Times New Roman;serif"/>
          <w:b w:val="false"/>
          <w:color w:val="000000"/>
          <w:sz w:val="20"/>
        </w:rPr>
        <w:t xml:space="preserve">In April 2026, Starz entered into an agreement to terminate certain live-action films under a post pay-one output licensing agreement. As a result, Starz recognized programming contract termination fees, which were recorded within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costs during the three and six months ended June 30, 2026.</w:t>
      </w:r>
    </w:p>
    <w:p>
      <w:pPr>
        <w:pStyle w:val="TextBody"/>
        <w:bidi w:val="0"/>
        <w:spacing w:lineRule="auto" w:line="288" w:before="120" w:after="283"/>
        <w:ind w:left="0" w:right="0" w:hanging="360"/>
        <w:jc w:val="both"/>
        <w:rPr/>
      </w:pPr>
      <w:r>
        <w:rPr>
          <w:rFonts w:ascii="Times New Roman;serif" w:hAnsi="Times New Roman;serif"/>
          <w:b w:val="false"/>
          <w:color w:val="000000"/>
          <w:sz w:val="13"/>
        </w:rPr>
        <w:t>(c)</w:t>
      </w:r>
      <w:r>
        <w:rPr>
          <w:rFonts w:ascii="Times New Roman;serif" w:hAnsi="Times New Roman;serif"/>
          <w:b w:val="false"/>
          <w:color w:val="000000"/>
          <w:sz w:val="20"/>
        </w:rPr>
        <w:t>Transaction and other costs reflect costs associated with certain potential strategic transactions, costs associated with certain legal matters, and transaction, integration and legal costs associated with the separation from Lionsgate.</w:t>
      </w:r>
    </w:p>
    <w:p>
      <w:pPr>
        <w:pStyle w:val="TextBody"/>
        <w:bidi w:val="0"/>
        <w:spacing w:lineRule="auto" w:line="288" w:before="120" w:after="283"/>
        <w:ind w:left="0" w:right="0" w:hanging="360"/>
        <w:jc w:val="both"/>
        <w:rPr/>
      </w:pPr>
      <w:r>
        <w:rPr>
          <w:rFonts w:ascii="Times New Roman;serif" w:hAnsi="Times New Roman;serif"/>
          <w:b w:val="false"/>
          <w:color w:val="000000"/>
          <w:sz w:val="13"/>
        </w:rPr>
        <w:t>(d)</w:t>
      </w:r>
      <w:r>
        <w:rPr>
          <w:rFonts w:ascii="Times New Roman;serif" w:hAnsi="Times New Roman;serif"/>
          <w:b w:val="false"/>
          <w:color w:val="000000"/>
          <w:sz w:val="20"/>
        </w:rPr>
        <w:t>Severance costs represent a reduction in our work force due to cost-saving initiatives and the continued decline in traditional linear services.</w:t>
      </w:r>
    </w:p>
    <w:p>
      <w:pPr>
        <w:pStyle w:val="TextBody"/>
        <w:bidi w:val="0"/>
        <w:spacing w:lineRule="auto" w:line="288" w:before="120" w:after="283"/>
        <w:ind w:left="0" w:right="0" w:hanging="360"/>
        <w:jc w:val="both"/>
        <w:rPr/>
      </w:pPr>
      <w:r>
        <w:rPr>
          <w:rFonts w:ascii="Times New Roman;serif" w:hAnsi="Times New Roman;serif"/>
          <w:b w:val="false"/>
          <w:color w:val="000000"/>
          <w:sz w:val="13"/>
        </w:rPr>
        <w:t>(e)</w:t>
      </w:r>
      <w:r>
        <w:rPr>
          <w:rFonts w:ascii="Times New Roman;serif" w:hAnsi="Times New Roman;serif"/>
          <w:b w:val="false"/>
          <w:color w:val="000000"/>
          <w:sz w:val="20"/>
        </w:rPr>
        <w:t>This balance includes a modification of equity awards in connection with the separation from Lionsgate. In June 2025, the compensation committee of the Company approved a cash payment in lieu of share issuance for the restricted share units that vested in July and August 2025.</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STARZ ENTERTAINMENT CORP.</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147.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 following table reconciles total share-based compensation expense to adjusted share-based compensation expense:</w:t>
      </w:r>
    </w:p>
    <w:tbl>
      <w:tblPr>
        <w:tblW w:w="10205" w:type="dxa"/>
        <w:jc w:val="left"/>
        <w:tblInd w:w="0" w:type="dxa"/>
        <w:tblLayout w:type="fixed"/>
        <w:tblCellMar>
          <w:top w:w="28" w:type="dxa"/>
          <w:left w:w="28" w:type="dxa"/>
          <w:bottom w:w="28" w:type="dxa"/>
          <w:right w:w="28" w:type="dxa"/>
        </w:tblCellMar>
      </w:tblPr>
      <w:tblGrid>
        <w:gridCol w:w="1032"/>
        <w:gridCol w:w="878"/>
        <w:gridCol w:w="880"/>
        <w:gridCol w:w="202"/>
        <w:gridCol w:w="389"/>
        <w:gridCol w:w="112"/>
        <w:gridCol w:w="109"/>
        <w:gridCol w:w="109"/>
        <w:gridCol w:w="109"/>
        <w:gridCol w:w="298"/>
        <w:gridCol w:w="572"/>
        <w:gridCol w:w="167"/>
        <w:gridCol w:w="109"/>
        <w:gridCol w:w="109"/>
        <w:gridCol w:w="109"/>
        <w:gridCol w:w="285"/>
        <w:gridCol w:w="549"/>
        <w:gridCol w:w="159"/>
        <w:gridCol w:w="109"/>
        <w:gridCol w:w="109"/>
        <w:gridCol w:w="109"/>
        <w:gridCol w:w="227"/>
        <w:gridCol w:w="436"/>
        <w:gridCol w:w="126"/>
        <w:gridCol w:w="109"/>
        <w:gridCol w:w="109"/>
        <w:gridCol w:w="109"/>
        <w:gridCol w:w="196"/>
        <w:gridCol w:w="466"/>
        <w:gridCol w:w="109"/>
        <w:gridCol w:w="109"/>
        <w:gridCol w:w="109"/>
        <w:gridCol w:w="109"/>
        <w:gridCol w:w="355"/>
        <w:gridCol w:w="844"/>
        <w:gridCol w:w="288"/>
      </w:tblGrid>
      <w:tr>
        <w:trPr/>
        <w:tc>
          <w:tcPr>
            <w:tcW w:w="103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Trailing Twelve Months</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8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Less: Amount included in restructuring and other</w:t>
            </w:r>
            <w:r>
              <w:rPr>
                <w:rFonts w:ascii="Times New Roman;serif" w:hAnsi="Times New Roman;serif"/>
                <w:b w:val="false"/>
                <w:color w:val="000000"/>
                <w:sz w:val="12"/>
              </w:rPr>
              <w:t>(a)</w:t>
            </w:r>
          </w:p>
        </w:tc>
        <w:tc>
          <w:tcPr>
            <w:tcW w:w="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8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Adjusted share-based compensation expense</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88" w:type="dxa"/>
            <w:tcBorders>
              <w:top w:val="single" w:sz="8" w:space="0" w:color="000000"/>
              <w:bottom w:val="double" w:sz="8" w:space="0" w:color="000000"/>
              <w:right w:val="single" w:sz="8" w:space="0" w:color="000000"/>
            </w:tcBorders>
            <w:shd w:fill="CCEE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13"/>
        </w:rPr>
        <w:t>(a)</w:t>
      </w:r>
      <w:r>
        <w:rPr>
          <w:rFonts w:ascii="Times New Roman;serif" w:hAnsi="Times New Roman;serif"/>
          <w:b w:val="false"/>
          <w:color w:val="000000"/>
          <w:sz w:val="20"/>
        </w:rPr>
        <w:t>Includes a modification of equity awards in connection with the Separation included in restructuring and other expenses. Refer to note (1)(e).</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See "Use of Non-GAAP Financial Measures" for the definition of Adjusted OIBDA which is reconciled to operating loss in the table above, the most directly comparable GAAP financial measure.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STARZ ENTERTAINMENT CORP.</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147.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212121"/>
          <w:sz w:val="20"/>
        </w:rPr>
      </w:pPr>
      <w:r>
        <w:rPr>
          <w:rFonts w:ascii="Times New Roman;serif" w:hAnsi="Times New Roman;serif"/>
          <w:b/>
          <w:color w:val="212121"/>
          <w:sz w:val="20"/>
        </w:rPr>
        <w:t>KEY PERFORMANCE INDICATORS (KPIs)</w:t>
      </w:r>
    </w:p>
    <w:tbl>
      <w:tblPr>
        <w:tblW w:w="10205" w:type="dxa"/>
        <w:jc w:val="center"/>
        <w:tblInd w:w="0" w:type="dxa"/>
        <w:tblLayout w:type="fixed"/>
        <w:tblCellMar>
          <w:top w:w="28" w:type="dxa"/>
          <w:left w:w="28" w:type="dxa"/>
          <w:bottom w:w="28" w:type="dxa"/>
          <w:right w:w="28" w:type="dxa"/>
        </w:tblCellMar>
      </w:tblPr>
      <w:tblGrid>
        <w:gridCol w:w="1262"/>
        <w:gridCol w:w="1089"/>
        <w:gridCol w:w="1092"/>
        <w:gridCol w:w="196"/>
        <w:gridCol w:w="625"/>
        <w:gridCol w:w="109"/>
        <w:gridCol w:w="109"/>
        <w:gridCol w:w="109"/>
        <w:gridCol w:w="109"/>
        <w:gridCol w:w="234"/>
        <w:gridCol w:w="750"/>
        <w:gridCol w:w="129"/>
        <w:gridCol w:w="109"/>
        <w:gridCol w:w="109"/>
        <w:gridCol w:w="109"/>
        <w:gridCol w:w="225"/>
        <w:gridCol w:w="722"/>
        <w:gridCol w:w="125"/>
        <w:gridCol w:w="109"/>
        <w:gridCol w:w="109"/>
        <w:gridCol w:w="109"/>
        <w:gridCol w:w="196"/>
        <w:gridCol w:w="625"/>
        <w:gridCol w:w="109"/>
        <w:gridCol w:w="109"/>
        <w:gridCol w:w="109"/>
        <w:gridCol w:w="109"/>
        <w:gridCol w:w="196"/>
        <w:gridCol w:w="625"/>
        <w:gridCol w:w="588"/>
      </w:tblGrid>
      <w:tr>
        <w:trPr/>
        <w:tc>
          <w:tcPr>
            <w:tcW w:w="126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Equity and Unlevered Free Cash Flow</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588"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capital expenditures</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Equity Free Cash Flow</w:t>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Plus: cash paid for interest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Plus: cash paid for income taxes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588"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Unlevered 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Cash paid for programming content</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Starz Networks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70"/>
              <w:jc w:val="left"/>
              <w:rPr/>
            </w:pPr>
            <w:r>
              <w:rPr>
                <w:rFonts w:ascii="Times New Roman;serif" w:hAnsi="Times New Roman;serif"/>
                <w:b w:val="false"/>
                <w:color w:val="000000"/>
                <w:sz w:val="18"/>
              </w:rPr>
              <w:t>Programming content restructuring</w:t>
            </w:r>
            <w:r>
              <w:rPr>
                <w:rFonts w:ascii="Times New Roman;serif" w:hAnsi="Times New Roman;serif"/>
                <w:b w:val="false"/>
                <w:color w:val="000000"/>
                <w:sz w:val="12"/>
              </w:rPr>
              <w:t>(1)</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Total cash paid for programming content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Net corporate debt</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270"/>
              <w:jc w:val="left"/>
              <w:rPr/>
            </w:pPr>
            <w:r>
              <w:rPr>
                <w:rFonts w:ascii="Times New Roman;serif" w:hAnsi="Times New Roman;serif"/>
                <w:b w:val="false"/>
                <w:color w:val="000000"/>
                <w:sz w:val="18"/>
              </w:rPr>
              <w:t>Debt</w:t>
            </w: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625.1 </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ind w:left="0" w:right="0" w:firstLine="450"/>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Net corporate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565.5 </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Adjusted OIBDA - trailing twelve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195.2 </w:t>
            </w:r>
          </w:p>
        </w:tc>
        <w:tc>
          <w:tcPr>
            <w:tcW w:w="5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18"/>
              </w:rPr>
              <w:t>Adjusted OIBDA leverage ratio</w:t>
            </w:r>
            <w:r>
              <w:rPr>
                <w:rFonts w:ascii="Times New Roman;serif" w:hAnsi="Times New Roman;serif"/>
                <w:b/>
                <w:color w:val="000000"/>
                <w:sz w:val="12"/>
              </w:rPr>
              <w:t>(3)</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2.9x</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Represents cash used in operating activities for programming content paid subsequent to the final shutdown of the LIONSGATE+ business in May 2024 and the Starz Networks Strategic Content Review and International Restructuring. Such cash flows are included in continuing operations in the consolidated statements of cash flow.</w:t>
      </w:r>
    </w:p>
    <w:p>
      <w:pPr>
        <w:pStyle w:val="TextBody"/>
        <w:bidi w:val="0"/>
        <w:spacing w:lineRule="auto" w:line="288" w:before="12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Debt represents total debt, excluding unamortized debt issuance costs.</w:t>
      </w:r>
    </w:p>
    <w:p>
      <w:pPr>
        <w:pStyle w:val="TextBody"/>
        <w:bidi w:val="0"/>
        <w:spacing w:lineRule="auto" w:line="288" w:before="12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Adjusted OIBDA leverage ratio is defined as Net Corporate Debt (represents total debt, excluding unamortized debt issuance costs, minus cash and cash equivalents), divided by Adjusted OIBDA for the trailing twelve-months.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STARZ ENTERTAINMENT CORP.</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147.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This earnings release presents the following important financial measures utilized by Starz Entertainment Corp. (the "Company," “Starz,” "we," "us" or "our") that are not financial measures defined by U.S. generally accepted accounting principles ("GAAP"). These non-GAAP financial measures are in addition to, not a substitute for, or superior to, measures of financial performance prepared in accordance with United States GAAP.</w:t>
      </w:r>
    </w:p>
    <w:p>
      <w:pPr>
        <w:pStyle w:val="TextBody"/>
        <w:bidi w:val="0"/>
        <w:spacing w:lineRule="auto" w:line="288" w:before="120" w:after="283"/>
        <w:jc w:val="both"/>
        <w:rPr/>
      </w:pPr>
      <w:r>
        <w:rPr>
          <w:rFonts w:ascii="Times New Roman;serif" w:hAnsi="Times New Roman;serif"/>
          <w:b/>
          <w:color w:val="000000"/>
          <w:sz w:val="20"/>
        </w:rPr>
        <w:t xml:space="preserve">Adjusted OIBDA: </w:t>
      </w:r>
      <w:r>
        <w:rPr>
          <w:rFonts w:ascii="Times New Roman;serif" w:hAnsi="Times New Roman;serif"/>
          <w:b w:val="false"/>
          <w:color w:val="000000"/>
          <w:sz w:val="20"/>
        </w:rPr>
        <w:t>Adjusted OIBDA is defined as operating income (loss) before depreciation and amortization ("OIBDA"), adjusted for share-based compensation ("adjusted SBC"), restructuring and other costs, and unusual gains or losses, (such as goodwill and intangible asset impairment), when applicable.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Depreciation and amortization as presented on our consolidated statement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share-based compensation represents share-based compensation excluding the impact of the acceleration of certain vesting schedules for equity awards pursuant to certain severance arrangements, which are included in restructuring and other expenses, when applicable.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Restructuring and other includes restructuring costs, certain transaction-related and other expenses, and unusual items, when applicable.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Goodwill impairment and intangible asset impairment, when applicable.</w:t>
      </w:r>
    </w:p>
    <w:p>
      <w:pPr>
        <w:pStyle w:val="TextBody"/>
        <w:bidi w:val="0"/>
        <w:spacing w:lineRule="auto" w:line="288" w:before="120" w:after="283"/>
        <w:jc w:val="both"/>
        <w:rPr/>
      </w:pPr>
      <w:r>
        <w:rPr>
          <w:rFonts w:ascii="Times New Roman;serif" w:hAnsi="Times New Roman;serif"/>
          <w:b/>
          <w:color w:val="000000"/>
          <w:sz w:val="20"/>
        </w:rPr>
        <w:t>Adjusted OIBDA Leverage Ratio</w:t>
      </w:r>
      <w:r>
        <w:rPr>
          <w:rFonts w:ascii="Times New Roman;serif" w:hAnsi="Times New Roman;serif"/>
          <w:b w:val="false"/>
          <w:color w:val="000000"/>
          <w:sz w:val="20"/>
        </w:rPr>
        <w:t>: Adjusted OIBDA Leverage Ratio is defined as Net Corporate Debt (represents total debt, excluding Unamortized Debt Issuance Costs, minus Cash and Cash Equivalents), divided by Adjusted OIBDA for the trailing twelve-months.</w:t>
      </w:r>
    </w:p>
    <w:p>
      <w:pPr>
        <w:pStyle w:val="TextBody"/>
        <w:bidi w:val="0"/>
        <w:spacing w:lineRule="auto" w:line="288" w:before="120" w:after="283"/>
        <w:jc w:val="both"/>
        <w:rPr/>
      </w:pPr>
      <w:r>
        <w:rPr>
          <w:rFonts w:ascii="Times New Roman;serif" w:hAnsi="Times New Roman;serif"/>
          <w:b/>
          <w:color w:val="000000"/>
          <w:sz w:val="20"/>
        </w:rPr>
        <w:t>Unlevered Free Cash Flow</w:t>
      </w:r>
      <w:r>
        <w:rPr>
          <w:rFonts w:ascii="Times New Roman;serif" w:hAnsi="Times New Roman;serif"/>
          <w:b w:val="false"/>
          <w:color w:val="000000"/>
          <w:sz w:val="20"/>
        </w:rPr>
        <w:t>: Unlevered Free Cash Flow is defined as net cash provided by (used in) operating activities, less capital expenditures, plus cash paid for interest and taxes.</w:t>
      </w:r>
    </w:p>
    <w:p>
      <w:pPr>
        <w:pStyle w:val="TextBody"/>
        <w:bidi w:val="0"/>
        <w:spacing w:lineRule="auto" w:line="288" w:before="120" w:after="283"/>
        <w:jc w:val="left"/>
        <w:rPr/>
      </w:pPr>
      <w:r>
        <w:rPr>
          <w:rFonts w:ascii="Times New Roman;serif" w:hAnsi="Times New Roman;serif"/>
          <w:b/>
          <w:color w:val="000000"/>
          <w:sz w:val="20"/>
        </w:rPr>
        <w:t>Equity Free Cash Flow</w:t>
      </w:r>
      <w:r>
        <w:rPr>
          <w:rFonts w:ascii="Times New Roman;serif" w:hAnsi="Times New Roman;serif"/>
          <w:b w:val="false"/>
          <w:color w:val="000000"/>
          <w:sz w:val="20"/>
        </w:rPr>
        <w:t>: Equity Free Cash Flow is defined as net cash provided by (used in) operating activities, less capital expenditures.</w:t>
      </w:r>
    </w:p>
    <w:p>
      <w:pPr>
        <w:pStyle w:val="TextBody"/>
        <w:bidi w:val="0"/>
        <w:spacing w:lineRule="auto" w:line="288" w:before="120" w:after="283"/>
        <w:jc w:val="both"/>
        <w:rPr/>
      </w:pPr>
      <w:r>
        <w:rPr>
          <w:rFonts w:ascii="Times New Roman;serif" w:hAnsi="Times New Roman;serif"/>
          <w:b/>
          <w:color w:val="000000"/>
          <w:sz w:val="20"/>
        </w:rPr>
        <w:t>Net Corporate Debt</w:t>
      </w:r>
      <w:r>
        <w:rPr>
          <w:rFonts w:ascii="Times New Roman;serif" w:hAnsi="Times New Roman;serif"/>
          <w:b w:val="false"/>
          <w:color w:val="000000"/>
          <w:sz w:val="20"/>
        </w:rPr>
        <w:t>: Net Corporate Debt is defined as total debt, excluding Unamortized Debt Issuance Costs, minus Cash and Cash Equivalents.</w:t>
      </w:r>
    </w:p>
    <w:p>
      <w:pPr>
        <w:pStyle w:val="TextBody"/>
        <w:bidi w:val="0"/>
        <w:spacing w:lineRule="auto" w:line="288" w:before="120" w:after="283"/>
        <w:jc w:val="both"/>
        <w:rPr/>
      </w:pPr>
      <w:r>
        <w:rPr>
          <w:rFonts w:ascii="Times New Roman;serif" w:hAnsi="Times New Roman;serif"/>
          <w:b/>
          <w:color w:val="000000"/>
          <w:sz w:val="20"/>
        </w:rPr>
        <w:t>Overall:</w:t>
      </w:r>
      <w:r>
        <w:rPr>
          <w:color w:val="000000"/>
        </w:rPr>
        <w:t xml:space="preserve"> </w:t>
      </w:r>
      <w:r>
        <w:rPr>
          <w:rFonts w:ascii="Times New Roman;serif" w:hAnsi="Times New Roman;serif"/>
          <w:b w:val="false"/>
          <w:color w:val="000000"/>
          <w:sz w:val="20"/>
        </w:rPr>
        <w:t>These measures are non-GAAP financial measures as defined in Regulation G promulgated by the SEC and are in addition to, not a substitute for, or superior to, measures of financial performance prepared in accordance with GAAP.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use these non-GAAP measures, among other measures, to evaluate the operating performance of our business. We believe these measures provide useful information to investors regarding our results of operations before non-operating items and cash flows. Adjusted OIBDA is considered an important measure of the Company’s performance because this measure eliminates amounts that, in management’s opinion, do not necessarily reflect the fundamental performance of the Company’s businesses, are infrequent in occurrence, and in some cases are non-cash expenses. In addition, the Adjusted OIBDA Leverage Ratio is an important metric as it provides insight into the Company’s capital structure and financial risk, helping assess the Company’s ability to meet its debt obligations and maintain financial flexibility. Unlevered Free Cash Flow and Equity Free Cash Flow are considered important measures of the Company’s liquidity because they provide information about the ability of the Company to reduce Net Corporate Debt and make strategic investments. Net Corporate Debt is used by management to evaluate the Company’s overall indebtedness and capital structure by reflecting debt levels net of available liquidity, and is an important measure in assessing leverage, financial risk, and the Company’s capacity to service and reduce debt over time. The Company utilizes these measures, among others, to evaluate the performance of its business relative to its peers and the broader market.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non-GAAP measures are commonly used in the entertainment industry and by financial analysts and others who follow the industry to measure operating performance. However, not all companies calculate these measures in the same manner and the measures as presented may not be comparable to similarly titled measures presented by other companies due to differences in the methods of calculation and excluded items.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general limitation of these non-GAAP financial measures is that they are not prepared in accordance with GAAP. These measures should be reviewed in conjunction with the relevant GAAP financial measures and are not presented as an alternative measure of operating income, cash flow, net income (loss), or earnings (loss) per share as determined in accordance with GAAP.</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13"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3843</Words>
  <Characters>22034</Characters>
  <CharactersWithSpaces>25375</CharactersWithSpaces>
  <Paragraphs>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