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STARZ ENTERTAINMENT CORP /CN/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2700 COLORADO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Lionsgate Studios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12" w:lineRule="exact"/>
        <w:rPr>
          <w:sz w:val="24"/>
          <w:szCs w:val="24"/>
          <w:color w:val="auto"/>
        </w:rPr>
      </w:pPr>
    </w:p>
    <w:p>
      <w:pPr>
        <w:sectPr>
          <w:pgSz w:w="11900" w:h="16838" w:orient="portrait"/>
          <w:cols w:equalWidth="0" w:num="3">
            <w:col w:w="3680" w:space="240"/>
            <w:col w:w="3095" w:space="720"/>
            <w:col w:w="3345"/>
          </w:cols>
          <w:pgMar w:left="460" w:top="219" w:right="359" w:bottom="1440" w:gutter="0" w:footer="0" w:header="0"/>
          <w:type w:val="continuous"/>
        </w:sectPr>
      </w:pPr>
    </w:p>
    <w:p>
      <w:pPr>
        <w:spacing w:after="0" w:line="12" w:lineRule="exact"/>
        <w:rPr>
          <w:sz w:val="24"/>
          <w:szCs w:val="24"/>
          <w:color w:val="auto"/>
        </w:rPr>
      </w:pPr>
    </w:p>
    <w:tbl>
      <w:tblPr>
        <w:tblLayout w:type="fixed"/>
        <w:tblInd w:w="80" w:type="dxa"/>
        <w:tblCellMar>
          <w:top w:w="0" w:type="dxa"/>
          <w:left w:w="0" w:type="dxa"/>
          <w:bottom w:w="0" w:type="dxa"/>
          <w:right w:w="0" w:type="dxa"/>
        </w:tblCellMar>
      </w:tblPr>
      <w:tr>
        <w:trPr>
          <w:trHeight w:val="133"/>
        </w:trPr>
        <w:tc>
          <w:tcPr>
            <w:tcW w:w="40" w:type="dxa"/>
            <w:vAlign w:val="bottom"/>
          </w:tcPr>
          <w:p>
            <w:pPr>
              <w:spacing w:after="0"/>
              <w:rPr>
                <w:sz w:val="11"/>
                <w:szCs w:val="11"/>
                <w:color w:val="auto"/>
              </w:rPr>
            </w:pPr>
          </w:p>
        </w:tc>
        <w:tc>
          <w:tcPr>
            <w:tcW w:w="3640" w:type="dxa"/>
            <w:vAlign w:val="bottom"/>
            <w:tcBorders>
              <w:top w:val="single" w:sz="8" w:color="9A9A9A"/>
            </w:tcBorders>
          </w:tcPr>
          <w:p>
            <w:pPr>
              <w:spacing w:after="0"/>
              <w:rPr>
                <w:sz w:val="11"/>
                <w:szCs w:val="11"/>
                <w:color w:val="auto"/>
              </w:rPr>
            </w:pPr>
          </w:p>
        </w:tc>
        <w:tc>
          <w:tcPr>
            <w:tcW w:w="3760" w:type="dxa"/>
            <w:vAlign w:val="bottom"/>
          </w:tcPr>
          <w:p>
            <w:pPr>
              <w:ind w:left="160"/>
              <w:spacing w:after="0" w:line="13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33" w:lineRule="exact"/>
              <w:rPr>
                <w:sz w:val="20"/>
                <w:szCs w:val="20"/>
                <w:color w:val="auto"/>
              </w:rPr>
            </w:pPr>
            <w:r>
              <w:rPr>
                <w:rFonts w:ascii="Arial" w:cs="Arial" w:eastAsia="Arial" w:hAnsi="Arial"/>
                <w:sz w:val="13"/>
                <w:szCs w:val="13"/>
                <w:color w:val="auto"/>
              </w:rPr>
              <w:t>6. Individual or Joint/Group Filing (Check Applicable</w:t>
            </w:r>
          </w:p>
        </w:tc>
      </w:tr>
      <w:tr>
        <w:trPr>
          <w:trHeight w:val="189"/>
        </w:trPr>
        <w:tc>
          <w:tcPr>
            <w:tcW w:w="7440" w:type="dxa"/>
            <w:vAlign w:val="bottom"/>
            <w:gridSpan w:val="3"/>
          </w:tcPr>
          <w:p>
            <w:pPr>
              <w:spacing w:after="0"/>
              <w:rPr>
                <w:sz w:val="20"/>
                <w:szCs w:val="20"/>
                <w:color w:val="auto"/>
              </w:rPr>
            </w:pPr>
            <w:r>
              <w:rPr>
                <w:rFonts w:ascii="Arial" w:cs="Arial" w:eastAsia="Arial" w:hAnsi="Arial"/>
                <w:sz w:val="13"/>
                <w:szCs w:val="13"/>
                <w:color w:val="auto"/>
              </w:rPr>
              <w:t>(Street)</w:t>
            </w: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r>
    </w:tbl>
    <w:p>
      <w:pPr>
        <w:spacing w:after="0" w:line="1" w:lineRule="exact"/>
        <w:rPr>
          <w:sz w:val="24"/>
          <w:szCs w:val="24"/>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90404</w:t>
            </w:r>
          </w:p>
        </w:tc>
        <w:tc>
          <w:tcPr>
            <w:tcW w:w="0" w:type="dxa"/>
            <w:vAlign w:val="bottom"/>
          </w:tcPr>
          <w:p>
            <w:pPr>
              <w:spacing w:after="0"/>
              <w:rPr>
                <w:sz w:val="1"/>
                <w:szCs w:val="1"/>
                <w:color w:val="auto"/>
              </w:rPr>
            </w:pPr>
          </w:p>
        </w:tc>
      </w:tr>
      <w:tr>
        <w:trPr>
          <w:trHeight w:val="120"/>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MONICA</w:t>
            </w:r>
          </w:p>
        </w:tc>
        <w:tc>
          <w:tcPr>
            <w:tcW w:w="10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Shares, no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05/06/2025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1</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6, 2025, in connection with the consummation of the transactions contemplated by the Arrangement Agreement, dated as of January 29, 2025, as amended by an amending agreement dated March 12, 2025, by and among the Reporting Person, Issuer ("New Lionsgate") (f/k/a Lionsgate Sudios Holding Corp.), LG Sirius Holdings ULC and Lionsgate Studios Holding Corp. (f/k/a Lionsgate Studios Corp.), all of Issuer's Class A voting shares held by the Reporting Peron were repurchased for their initial subscription price and canceled, such that the Reporting Person is no longer a 10% owner of Issuer.</w:t>
      </w:r>
    </w:p>
    <w:p>
      <w:pPr>
        <w:spacing w:after="0" w:line="20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Adrian Kuzycz, Executive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4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Vice President and Associate</w:t>
        <w:tab/>
        <w:t>05/08/2025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59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359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0929351" TargetMode="External"/><Relationship Id="rId14" Type="http://schemas.openxmlformats.org/officeDocument/2006/relationships/hyperlink" Target="http://www.sec.gov/cgi-bin/browse-edgar?action=getcompany&amp;CIK=00020529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2025-05-08T18:40:52Z</dcterms:created>
  <dcterms:modified xsi:type="dcterms:W3CDTF">2025-05-08T18:40:52Z</dcterms:modified>
</cp:coreProperties>
</file>