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7,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333-276953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333-260770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333-249883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333-234102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333-221609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333-212792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333-213945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333-198972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333-184186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POST-EFFECTIVE AMENDMENT NO. 1 TO REGISTRATION STATEMENT ON FORM S-8</w:t>
      </w:r>
    </w:p>
    <w:p>
      <w:pPr>
        <w:spacing w:after="0" w:line="20"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(Registration No. 333-276953)</w:t>
      </w: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POST-EFFECTIVE AMENDMENT NO. 2 TO REGISTRATION STATEMENT ON FORM S-8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No. 333-260770)</w:t>
      </w:r>
    </w:p>
    <w:p>
      <w:pPr>
        <w:spacing w:after="0" w:line="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POST-EFFECTIVE AMENDMENT NO. 2 TO REGISTRATION STATEMENT ON FORM S-8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No. 333-249883)</w:t>
      </w:r>
    </w:p>
    <w:p>
      <w:pPr>
        <w:spacing w:after="0" w:line="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POST-EFFECTIVE AMENDMENT NO. 1 TO REGISTRATION STATEMENT ON FORM S-8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No. 333-234102)</w:t>
      </w:r>
    </w:p>
    <w:p>
      <w:pPr>
        <w:spacing w:after="0" w:line="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POST-EFFECTIVE AMENDMENT NO. 2 TO REGISTRATION STATEMENT ON FORM S-8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No. 333-221609)</w:t>
      </w:r>
    </w:p>
    <w:p>
      <w:pPr>
        <w:spacing w:after="0" w:line="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POST-EFFECTIVE AMENDMENT NO. 2 TO REGISTRATION STATEMENT ON FORM S-8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No. 333-212792)</w:t>
      </w:r>
    </w:p>
    <w:p>
      <w:pPr>
        <w:spacing w:after="0" w:line="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POST-EFFECTIVE AMENDMENT NO. 1 TO REGISTRATION STATEMENT ON FORM S-8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No. 333-213945)</w:t>
      </w:r>
    </w:p>
    <w:p>
      <w:pPr>
        <w:spacing w:after="0" w:line="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POST-EFFECTIVE AMENDMENT NO. 1 TO REGISTRATION STATEMENT ON FORM S-8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No. 333-198972)</w:t>
      </w:r>
    </w:p>
    <w:p>
      <w:pPr>
        <w:spacing w:after="0" w:line="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POST-EFFECTIVE AMENDMENT NO. 1 TO REGISTRATION STATEMENT ON FORM S-8</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(Registration No. 333-184186)</w:t>
      </w:r>
    </w:p>
    <w:p>
      <w:pPr>
        <w:spacing w:after="0" w:line="13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Lions Gate Entertainment Corp.</w:t>
      </w:r>
    </w:p>
    <w:p>
      <w:pPr>
        <w:spacing w:after="0" w:line="5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7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British Columbia, Canada</w:t>
      </w:r>
      <w:r>
        <w:rPr>
          <w:sz w:val="20"/>
          <w:szCs w:val="20"/>
          <w:color w:val="auto"/>
        </w:rPr>
        <w:tab/>
      </w:r>
      <w:r>
        <w:rPr>
          <w:rFonts w:ascii="Times New Roman" w:cs="Times New Roman" w:eastAsia="Times New Roman" w:hAnsi="Times New Roman"/>
          <w:sz w:val="18"/>
          <w:szCs w:val="18"/>
          <w:b w:val="1"/>
          <w:bCs w:val="1"/>
          <w:color w:val="auto"/>
        </w:rPr>
        <w:t>N/A</w:t>
      </w:r>
    </w:p>
    <w:p>
      <w:pPr>
        <w:spacing w:after="0" w:line="12" w:lineRule="exact"/>
        <w:rPr>
          <w:sz w:val="24"/>
          <w:szCs w:val="24"/>
          <w:color w:val="auto"/>
        </w:rPr>
      </w:pPr>
    </w:p>
    <w:p>
      <w:pPr>
        <w:ind w:left="840"/>
        <w:spacing w:after="0"/>
        <w:tabs>
          <w:tab w:leader="none" w:pos="68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820"/>
        <w:spacing w:after="0"/>
        <w:tabs>
          <w:tab w:leader="none" w:pos="67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250 Howe Street, 20th Floor</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Vancouver, British Columbia V6C 3R8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2700 Colorado Avenue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Santa Monica, California 90404</w:t>
      </w:r>
    </w:p>
    <w:p>
      <w:pPr>
        <w:spacing w:after="0" w:line="2"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Lions Gate Entertainment Corp. 2023 Performance Incentive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Lions Gate Entertainment Corp. 2019 Performance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Lions Gate Entertainment Corp. 2017 Performance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Lions Gate Entertainment Corp. 2012 Performance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Starz 2016 Omnibus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Starz 2011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Starz 2011 Nonemployee Director Incentive Plan</w:t>
      </w:r>
    </w:p>
    <w:p>
      <w:pPr>
        <w:spacing w:after="0" w:line="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ectPr>
          <w:pgSz w:w="11900" w:h="16895" w:orient="portrait"/>
          <w:cols w:equalWidth="0" w:num="1">
            <w:col w:w="10020"/>
          </w:cols>
          <w:pgMar w:left="1440" w:top="225" w:right="439" w:bottom="0" w:gutter="0" w:footer="0" w:header="0"/>
        </w:sectPr>
      </w:pPr>
    </w:p>
    <w:p>
      <w:pPr>
        <w:spacing w:after="0" w:line="16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Adrian Kuzycz</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Executive Vice President and Associate General Counsel</w:t>
      </w:r>
    </w:p>
    <w:p>
      <w:pPr>
        <w:spacing w:after="0" w:line="2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Lions Gate Entertainment Corp.</w:t>
      </w:r>
    </w:p>
    <w:p>
      <w:pPr>
        <w:sectPr>
          <w:pgSz w:w="11900" w:h="16895" w:orient="portrait"/>
          <w:cols w:equalWidth="0" w:num="1">
            <w:col w:w="10020"/>
          </w:cols>
          <w:pgMar w:left="1440" w:top="225" w:right="439" w:bottom="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2700 Colorado Avenue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Santa Monica, California 90404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(877) 848-3866</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29"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as amended. 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7"/>
          <w:szCs w:val="17"/>
          <w:color w:val="auto"/>
        </w:rPr>
        <w:t>Lions Gate Entertainment Corp., a British Columbia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Lionsgate</w:t>
      </w:r>
      <w:r>
        <w:rPr>
          <w:rFonts w:ascii="Times New Roman" w:cs="Times New Roman" w:eastAsia="Times New Roman" w:hAnsi="Times New Roman"/>
          <w:sz w:val="17"/>
          <w:szCs w:val="17"/>
          <w:color w:val="auto"/>
        </w:rPr>
        <w:t>”), is filing these post-effective amendments (these “</w:t>
      </w:r>
      <w:r>
        <w:rPr>
          <w:rFonts w:ascii="Times New Roman" w:cs="Times New Roman" w:eastAsia="Times New Roman" w:hAnsi="Times New Roman"/>
          <w:sz w:val="17"/>
          <w:szCs w:val="17"/>
          <w:u w:val="single" w:color="auto"/>
          <w:color w:val="auto"/>
        </w:rPr>
        <w:t>Post-Effective Amendments</w:t>
      </w:r>
      <w:r>
        <w:rPr>
          <w:rFonts w:ascii="Times New Roman" w:cs="Times New Roman" w:eastAsia="Times New Roman" w:hAnsi="Times New Roman"/>
          <w:sz w:val="17"/>
          <w:szCs w:val="17"/>
          <w:color w:val="auto"/>
        </w:rPr>
        <w:t>”) to the following Registration Statements on Form S-8 (the “</w:t>
      </w:r>
      <w:r>
        <w:rPr>
          <w:rFonts w:ascii="Times New Roman" w:cs="Times New Roman" w:eastAsia="Times New Roman" w:hAnsi="Times New Roman"/>
          <w:sz w:val="17"/>
          <w:szCs w:val="17"/>
          <w:u w:val="single" w:color="auto"/>
          <w:color w:val="auto"/>
        </w:rPr>
        <w:t>Registration Statements</w:t>
      </w:r>
      <w:r>
        <w:rPr>
          <w:rFonts w:ascii="Times New Roman" w:cs="Times New Roman" w:eastAsia="Times New Roman" w:hAnsi="Times New Roman"/>
          <w:sz w:val="17"/>
          <w:szCs w:val="17"/>
          <w:color w:val="auto"/>
        </w:rPr>
        <w:t>”), which have been previously filed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to deregister any and all securities of the Company’s Class A Voting Shares and</w:t>
      </w:r>
    </w:p>
    <w:p>
      <w:pPr>
        <w:spacing w:after="0" w:line="2"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Class B Non-Voting Shares, without par value, previously registered but that remain unsold or otherwise unissued under each such Registration Statements as of the date hereof:</w:t>
      </w:r>
    </w:p>
    <w:p>
      <w:pPr>
        <w:spacing w:after="0" w:line="87" w:lineRule="exact"/>
        <w:rPr>
          <w:sz w:val="20"/>
          <w:szCs w:val="20"/>
          <w:color w:val="auto"/>
        </w:rPr>
      </w:pPr>
    </w:p>
    <w:p>
      <w:pPr>
        <w:ind w:left="960" w:right="34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Registration Statement No. 333-276953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February 8, 2024, relating to the Lions Gate Entertainment Corp.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Performance Incentive Plan;</w:t>
      </w:r>
    </w:p>
    <w:p>
      <w:pPr>
        <w:spacing w:after="0" w:line="67" w:lineRule="exact"/>
        <w:rPr>
          <w:rFonts w:ascii="Times New Roman" w:cs="Times New Roman" w:eastAsia="Times New Roman" w:hAnsi="Times New Roman"/>
          <w:sz w:val="18"/>
          <w:szCs w:val="18"/>
          <w:color w:val="0000EE"/>
        </w:rPr>
      </w:pPr>
    </w:p>
    <w:p>
      <w:pPr>
        <w:ind w:left="960" w:right="24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Statement No. 333-260770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November 4, 2021, relating to the Lions Gate Entertainment Corp. 2019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Performance Incentive Plan, as amended;</w:t>
      </w:r>
    </w:p>
    <w:p>
      <w:pPr>
        <w:spacing w:after="0" w:line="67" w:lineRule="exact"/>
        <w:rPr>
          <w:rFonts w:ascii="Times New Roman" w:cs="Times New Roman" w:eastAsia="Times New Roman" w:hAnsi="Times New Roman"/>
          <w:sz w:val="18"/>
          <w:szCs w:val="18"/>
          <w:color w:val="0000EE"/>
        </w:rPr>
      </w:pPr>
    </w:p>
    <w:p>
      <w:pPr>
        <w:ind w:left="960" w:right="24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Statement No. 333-249883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November 5, 2020, relating to the Lions Gate Entertainment Corp. 2019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Performance Incentive Plan, as amended;</w:t>
      </w:r>
    </w:p>
    <w:p>
      <w:pPr>
        <w:spacing w:after="0" w:line="67" w:lineRule="exact"/>
        <w:rPr>
          <w:rFonts w:ascii="Times New Roman" w:cs="Times New Roman" w:eastAsia="Times New Roman" w:hAnsi="Times New Roman"/>
          <w:sz w:val="18"/>
          <w:szCs w:val="18"/>
          <w:color w:val="0000EE"/>
        </w:rPr>
      </w:pPr>
    </w:p>
    <w:p>
      <w:pPr>
        <w:ind w:left="960" w:right="42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Statement No. 333-234102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October 4, 2019, relating to the Lions Gate Entertainment Corp. 2019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Performance Incentive Plan and Lions Gate Entertainment Corp. 2017 Performance Incentive Plan;</w:t>
      </w:r>
    </w:p>
    <w:p>
      <w:pPr>
        <w:spacing w:after="0" w:line="67" w:lineRule="exact"/>
        <w:rPr>
          <w:rFonts w:ascii="Times New Roman" w:cs="Times New Roman" w:eastAsia="Times New Roman" w:hAnsi="Times New Roman"/>
          <w:sz w:val="18"/>
          <w:szCs w:val="18"/>
          <w:color w:val="0000EE"/>
        </w:rPr>
      </w:pPr>
    </w:p>
    <w:p>
      <w:pPr>
        <w:ind w:left="960" w:right="18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Registration Statement No. 333-221609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November 16, 2017, relating to the Lions Gate Entertainment Corp. 2017</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Performance Incentive Plan, as amended;</w:t>
      </w:r>
    </w:p>
    <w:p>
      <w:pPr>
        <w:spacing w:after="0" w:line="67" w:lineRule="exact"/>
        <w:rPr>
          <w:rFonts w:ascii="Times New Roman" w:cs="Times New Roman" w:eastAsia="Times New Roman" w:hAnsi="Times New Roman"/>
          <w:sz w:val="18"/>
          <w:szCs w:val="18"/>
          <w:color w:val="0000EE"/>
        </w:rPr>
      </w:pPr>
    </w:p>
    <w:p>
      <w:pPr>
        <w:ind w:left="960" w:right="26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u w:val="single" w:color="auto"/>
            <w:color w:val="0000EE"/>
          </w:rPr>
          <w:t>Registration Statement No. 333-212792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August 1, 2016, relating to the Starz 2011 Incentive Plan, the Starz 2011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Nonemployee Director Incentive Plan and the Starz 2016 Omnibus Incentive Plan, as amended;</w:t>
      </w:r>
    </w:p>
    <w:p>
      <w:pPr>
        <w:spacing w:after="0" w:line="67" w:lineRule="exact"/>
        <w:rPr>
          <w:rFonts w:ascii="Times New Roman" w:cs="Times New Roman" w:eastAsia="Times New Roman" w:hAnsi="Times New Roman"/>
          <w:sz w:val="18"/>
          <w:szCs w:val="18"/>
          <w:color w:val="0000EE"/>
        </w:rPr>
      </w:pPr>
    </w:p>
    <w:p>
      <w:pPr>
        <w:ind w:left="960" w:right="46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u w:val="single" w:color="auto"/>
            <w:color w:val="0000EE"/>
          </w:rPr>
          <w:t>Registration Statement No. 333-213945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October 3, 2016, relating to the Lions Gate Entertainment Corp. 2012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Performance Incentive Plan;</w:t>
      </w:r>
    </w:p>
    <w:p>
      <w:pPr>
        <w:spacing w:after="0" w:line="67" w:lineRule="exact"/>
        <w:rPr>
          <w:rFonts w:ascii="Times New Roman" w:cs="Times New Roman" w:eastAsia="Times New Roman" w:hAnsi="Times New Roman"/>
          <w:sz w:val="18"/>
          <w:szCs w:val="18"/>
          <w:color w:val="0000EE"/>
        </w:rPr>
      </w:pPr>
    </w:p>
    <w:p>
      <w:pPr>
        <w:ind w:left="960" w:right="18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u w:val="single" w:color="auto"/>
            <w:color w:val="0000EE"/>
          </w:rPr>
          <w:t>Registration Statement No. 333-198972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September 26, 2014, relating to the Lions Gate Entertainment Corp. 2012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Performance Incentive Plan; and</w:t>
      </w:r>
    </w:p>
    <w:p>
      <w:pPr>
        <w:spacing w:after="0" w:line="67" w:lineRule="exact"/>
        <w:rPr>
          <w:rFonts w:ascii="Times New Roman" w:cs="Times New Roman" w:eastAsia="Times New Roman" w:hAnsi="Times New Roman"/>
          <w:sz w:val="18"/>
          <w:szCs w:val="18"/>
          <w:color w:val="0000EE"/>
        </w:rPr>
      </w:pPr>
    </w:p>
    <w:p>
      <w:pPr>
        <w:ind w:left="960" w:right="18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u w:val="single" w:color="auto"/>
            <w:color w:val="0000EE"/>
          </w:rPr>
          <w:t>Registration Statement No. 333-184186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September 28, 2012, relating to the Lions Gate Entertainment Corp. 2012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Performance Incentive Plan.</w:t>
      </w:r>
    </w:p>
    <w:p>
      <w:pPr>
        <w:spacing w:after="0" w:line="162" w:lineRule="exact"/>
        <w:rPr>
          <w:rFonts w:ascii="Times New Roman" w:cs="Times New Roman" w:eastAsia="Times New Roman" w:hAnsi="Times New Roman"/>
          <w:sz w:val="18"/>
          <w:szCs w:val="18"/>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These Post-Effective Amendments are being filed in connection with the closing on May 6, 2025 of the transactions contemplated by that certain Arrangement Agreement (the “</w:t>
      </w:r>
      <w:r>
        <w:rPr>
          <w:rFonts w:ascii="Times New Roman" w:cs="Times New Roman" w:eastAsia="Times New Roman" w:hAnsi="Times New Roman"/>
          <w:sz w:val="18"/>
          <w:szCs w:val="18"/>
          <w:u w:val="single" w:color="auto"/>
          <w:color w:val="auto"/>
        </w:rPr>
        <w:t>Arrangement Agreement</w:t>
      </w:r>
      <w:r>
        <w:rPr>
          <w:rFonts w:ascii="Times New Roman" w:cs="Times New Roman" w:eastAsia="Times New Roman" w:hAnsi="Times New Roman"/>
          <w:sz w:val="18"/>
          <w:szCs w:val="18"/>
          <w:color w:val="auto"/>
        </w:rPr>
        <w:t>”), dated as of January 29, 2025, as amended by an amending agreement (the “</w:t>
      </w:r>
      <w:r>
        <w:rPr>
          <w:rFonts w:ascii="Times New Roman" w:cs="Times New Roman" w:eastAsia="Times New Roman" w:hAnsi="Times New Roman"/>
          <w:sz w:val="18"/>
          <w:szCs w:val="18"/>
          <w:u w:val="single" w:color="auto"/>
          <w:color w:val="auto"/>
        </w:rPr>
        <w:t>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 Amendment</w:t>
      </w:r>
      <w:r>
        <w:rPr>
          <w:rFonts w:ascii="Times New Roman" w:cs="Times New Roman" w:eastAsia="Times New Roman" w:hAnsi="Times New Roman"/>
          <w:sz w:val="18"/>
          <w:szCs w:val="18"/>
          <w:color w:val="auto"/>
        </w:rPr>
        <w:t>”) dated March 12, 2025, by and among the Company, Lionsgate Studios Corp. (formerly known as Lionsgate Studios Holding Corp.), a British Columbia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New Lionsgate</w:t>
      </w:r>
      <w:r>
        <w:rPr>
          <w:rFonts w:ascii="Times New Roman" w:cs="Times New Roman" w:eastAsia="Times New Roman" w:hAnsi="Times New Roman"/>
          <w:sz w:val="18"/>
          <w:szCs w:val="18"/>
          <w:color w:val="auto"/>
        </w:rPr>
        <w:t>”), Lionsgate Studios Holding Corp. (formerly known as Lionsgate Studios Corp.), a British Columbia corporation (“</w:t>
      </w:r>
      <w:r>
        <w:rPr>
          <w:rFonts w:ascii="Times New Roman" w:cs="Times New Roman" w:eastAsia="Times New Roman" w:hAnsi="Times New Roman"/>
          <w:sz w:val="18"/>
          <w:szCs w:val="18"/>
          <w:u w:val="single" w:color="auto"/>
          <w:color w:val="auto"/>
        </w:rPr>
        <w:t>Legacy LG Studios</w:t>
      </w:r>
      <w:r>
        <w:rPr>
          <w:rFonts w:ascii="Times New Roman" w:cs="Times New Roman" w:eastAsia="Times New Roman" w:hAnsi="Times New Roman"/>
          <w:sz w:val="18"/>
          <w:szCs w:val="18"/>
          <w:color w:val="auto"/>
        </w:rPr>
        <w:t>”) and LG Sirius Holdings ULC, a British Columbia unlimited liability corporation that was voluntarily dissolved in accordance with Section 314 of the Business Corporations Act (British Columbia) and the regulations made thereunder.</w:t>
      </w:r>
    </w:p>
    <w:p>
      <w:pPr>
        <w:spacing w:after="0" w:line="187" w:lineRule="exact"/>
        <w:rPr>
          <w:rFonts w:ascii="Times New Roman" w:cs="Times New Roman" w:eastAsia="Times New Roman" w:hAnsi="Times New Roman"/>
          <w:sz w:val="18"/>
          <w:szCs w:val="18"/>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Arrangement Agreement, the Company has terminated all offerings of its securities pursuant to the Registration Statements. In accordance with an undertaking made by the Company in the Registration Statements to remove from registration, by means of these Post-Effective Amendments, any securities that had been registered but remain unsold at the termination of the offering, the Company hereby amends the Registration Statements to remove from registration all securities, as applicable, registered under the Registration Statements that remain unsold as of the date of these Post-Effective Amendments.</w:t>
      </w:r>
    </w:p>
    <w:p>
      <w:pPr>
        <w:sectPr>
          <w:pgSz w:w="11900" w:h="16838" w:orient="portrait"/>
          <w:cols w:equalWidth="0" w:num="1">
            <w:col w:w="11000"/>
          </w:cols>
          <w:pgMar w:left="440" w:top="266" w:right="45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Santa Monica, State of California, on May 7,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Lions Gate Entertainment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W. Barge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James W. Barge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0660"/>
      </w:cols>
      <w:pgMar w:left="440" w:top="26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18" Type="http://schemas.openxmlformats.org/officeDocument/2006/relationships/hyperlink" Target="http://www.sec.gov/Archives/edgar/data/929351/000119312524028448/d177093ds8.htm" TargetMode="External"/><Relationship Id="rId19" Type="http://schemas.openxmlformats.org/officeDocument/2006/relationships/hyperlink" Target="http://www.sec.gov/Archives/edgar/data/929351/000119312521320286/d249196ds8.htm" TargetMode="External"/><Relationship Id="rId20" Type="http://schemas.openxmlformats.org/officeDocument/2006/relationships/hyperlink" Target="http://www.sec.gov/Archives/edgar/data/929351/000119312520286973/d21002ds8.htm" TargetMode="External"/><Relationship Id="rId21" Type="http://schemas.openxmlformats.org/officeDocument/2006/relationships/hyperlink" Target="http://www.sec.gov/Archives/edgar/data/929351/000119312519262742/d814993ds8.htm" TargetMode="External"/><Relationship Id="rId22" Type="http://schemas.openxmlformats.org/officeDocument/2006/relationships/hyperlink" Target="http://www.sec.gov/Archives/edgar/data/929351/000114420417059709/tv479527_s8.htm" TargetMode="External"/><Relationship Id="rId23" Type="http://schemas.openxmlformats.org/officeDocument/2006/relationships/hyperlink" Target="http://www.sec.gov/Archives/edgar/data/929351/000157104916016946/t1601845_s4.htm" TargetMode="External"/><Relationship Id="rId24" Type="http://schemas.openxmlformats.org/officeDocument/2006/relationships/hyperlink" Target="http://www.sec.gov/Archives/edgar/data/929351/000157104916018605/t1602341_s8.htm" TargetMode="External"/><Relationship Id="rId25" Type="http://schemas.openxmlformats.org/officeDocument/2006/relationships/hyperlink" Target="http://www.sec.gov/Archives/edgar/data/929351/000110465914068510/a14-21517_1s8.htm" TargetMode="External"/><Relationship Id="rId26" Type="http://schemas.openxmlformats.org/officeDocument/2006/relationships/hyperlink" Target="http://www.sec.gov/Archives/edgar/data/929351/000110465912066394/a12-22378_1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2025-05-07T16:04:21Z</dcterms:created>
  <dcterms:modified xsi:type="dcterms:W3CDTF">2025-05-07T16:04:21Z</dcterms:modified>
</cp:coreProperties>
</file>