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BARGE JAMES W</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60"/>
              <w:spacing w:after="0"/>
              <w:rPr>
                <w:sz w:val="20"/>
                <w:szCs w:val="20"/>
                <w:color w:val="auto"/>
              </w:rPr>
            </w:pPr>
            <w:r>
              <w:rPr>
                <w:rFonts w:ascii="Arial" w:cs="Arial" w:eastAsia="Arial" w:hAnsi="Arial"/>
                <w:sz w:val="13"/>
                <w:szCs w:val="13"/>
                <w:color w:val="auto"/>
              </w:rPr>
              <w:t>(First)</w:t>
            </w:r>
          </w:p>
        </w:tc>
        <w:tc>
          <w:tcPr>
            <w:tcW w:w="1380" w:type="dxa"/>
            <w:vAlign w:val="bottom"/>
          </w:tcPr>
          <w:p>
            <w:pPr>
              <w:ind w:left="1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2700 COLORADO AVENUE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3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90404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MONICA</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60"/>
              <w:spacing w:after="0"/>
              <w:rPr>
                <w:sz w:val="20"/>
                <w:szCs w:val="20"/>
                <w:color w:val="auto"/>
              </w:rPr>
            </w:pPr>
            <w:r>
              <w:rPr>
                <w:rFonts w:ascii="Arial" w:cs="Arial" w:eastAsia="Arial" w:hAnsi="Arial"/>
                <w:sz w:val="13"/>
                <w:szCs w:val="13"/>
                <w:color w:val="auto"/>
              </w:rPr>
              <w:t>(State)</w:t>
            </w:r>
          </w:p>
        </w:tc>
        <w:tc>
          <w:tcPr>
            <w:tcW w:w="1380" w:type="dxa"/>
            <w:vAlign w:val="bottom"/>
          </w:tcPr>
          <w:p>
            <w:pPr>
              <w:ind w:left="1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STARZ ENTERTAINMENT CORP /CN/ </w:t>
              </w:r>
            </w:hyperlink>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56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LGF.A </w:t>
            </w:r>
            <w:r>
              <w:rPr>
                <w:rFonts w:ascii="Times New Roman" w:cs="Times New Roman" w:eastAsia="Times New Roman" w:hAnsi="Times New Roman"/>
                <w:sz w:val="21"/>
                <w:szCs w:val="21"/>
                <w:color w:val="000000"/>
              </w:rPr>
              <w:t>]</w:t>
            </w:r>
          </w:p>
        </w:tc>
        <w:tc>
          <w:tcPr>
            <w:tcW w:w="18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356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44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100" w:type="dxa"/>
            <w:vAlign w:val="bottom"/>
            <w:gridSpan w:val="2"/>
          </w:tcPr>
          <w:p>
            <w:pPr>
              <w:ind w:left="640"/>
              <w:spacing w:after="0" w:line="185" w:lineRule="exact"/>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26"/>
        </w:trPr>
        <w:tc>
          <w:tcPr>
            <w:tcW w:w="36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05/06/2025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44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8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3"/>
                <w:szCs w:val="13"/>
                <w:color w:val="auto"/>
              </w:rPr>
            </w:pPr>
          </w:p>
        </w:tc>
        <w:tc>
          <w:tcPr>
            <w:tcW w:w="20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2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2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9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Shares, no par value</w:t>
            </w:r>
          </w:p>
        </w:tc>
        <w:tc>
          <w:tcPr>
            <w:tcW w:w="120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05/06/2025</w:t>
            </w:r>
          </w:p>
        </w:tc>
        <w:tc>
          <w:tcPr>
            <w:tcW w:w="1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(1)(2)(3)</w:t>
            </w:r>
          </w:p>
        </w:tc>
        <w:tc>
          <w:tcPr>
            <w:tcW w:w="2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129"/>
              <w:spacing w:after="0"/>
              <w:rPr>
                <w:sz w:val="20"/>
                <w:szCs w:val="20"/>
                <w:color w:val="auto"/>
              </w:rPr>
            </w:pPr>
            <w:r>
              <w:rPr>
                <w:rFonts w:ascii="Times New Roman" w:cs="Times New Roman" w:eastAsia="Times New Roman" w:hAnsi="Times New Roman"/>
                <w:sz w:val="17"/>
                <w:szCs w:val="17"/>
                <w:color w:val="0000FF"/>
              </w:rPr>
              <w:t>91,282</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ind w:left="80"/>
              <w:spacing w:after="0" w:line="319" w:lineRule="exact"/>
              <w:rPr>
                <w:sz w:val="20"/>
                <w:szCs w:val="20"/>
                <w:color w:val="auto"/>
              </w:rPr>
            </w:pPr>
            <w:r>
              <w:rPr>
                <w:rFonts w:ascii="Arial" w:cs="Arial" w:eastAsia="Arial" w:hAnsi="Arial"/>
                <w:sz w:val="34"/>
                <w:szCs w:val="34"/>
                <w:color w:val="000000"/>
                <w:w w:val="99"/>
                <w:vertAlign w:val="subscript"/>
              </w:rPr>
              <w:t>$</w:t>
            </w:r>
            <w:r>
              <w:rPr>
                <w:rFonts w:ascii="Times New Roman" w:cs="Times New Roman" w:eastAsia="Times New Roman" w:hAnsi="Times New Roman"/>
                <w:sz w:val="34"/>
                <w:szCs w:val="34"/>
                <w:color w:val="0000FF"/>
                <w:w w:val="99"/>
                <w:vertAlign w:val="subscript"/>
              </w:rPr>
              <w:t>0</w:t>
            </w:r>
            <w:r>
              <w:rPr>
                <w:rFonts w:ascii="Times New Roman" w:cs="Times New Roman" w:eastAsia="Times New Roman" w:hAnsi="Times New Roman"/>
                <w:sz w:val="11"/>
                <w:szCs w:val="11"/>
                <w:color w:val="008000"/>
                <w:w w:val="99"/>
              </w:rPr>
              <w:t>(1)(2)(3)</w:t>
            </w:r>
          </w:p>
        </w:tc>
        <w:tc>
          <w:tcPr>
            <w:tcW w:w="1140" w:type="dxa"/>
            <w:vAlign w:val="bottom"/>
            <w:tcBorders>
              <w:bottom w:val="single" w:sz="8" w:color="2C2C2C"/>
            </w:tcBorders>
          </w:tcPr>
          <w:p>
            <w:pPr>
              <w:ind w:left="540"/>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B Common Shares, no par value</w:t>
            </w:r>
          </w:p>
        </w:tc>
        <w:tc>
          <w:tcPr>
            <w:tcW w:w="120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05/06/2025</w:t>
            </w:r>
          </w:p>
        </w:tc>
        <w:tc>
          <w:tcPr>
            <w:tcW w:w="1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(1)(2)(3)</w:t>
            </w:r>
          </w:p>
        </w:tc>
        <w:tc>
          <w:tcPr>
            <w:tcW w:w="2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9"/>
              <w:spacing w:after="0"/>
              <w:rPr>
                <w:sz w:val="20"/>
                <w:szCs w:val="20"/>
                <w:color w:val="auto"/>
              </w:rPr>
            </w:pPr>
            <w:r>
              <w:rPr>
                <w:rFonts w:ascii="Times New Roman" w:cs="Times New Roman" w:eastAsia="Times New Roman" w:hAnsi="Times New Roman"/>
                <w:sz w:val="17"/>
                <w:szCs w:val="17"/>
                <w:color w:val="0000FF"/>
              </w:rPr>
              <w:t>3,147,206</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ind w:left="80"/>
              <w:spacing w:after="0" w:line="319" w:lineRule="exact"/>
              <w:rPr>
                <w:sz w:val="20"/>
                <w:szCs w:val="20"/>
                <w:color w:val="auto"/>
              </w:rPr>
            </w:pPr>
            <w:r>
              <w:rPr>
                <w:rFonts w:ascii="Arial" w:cs="Arial" w:eastAsia="Arial" w:hAnsi="Arial"/>
                <w:sz w:val="34"/>
                <w:szCs w:val="34"/>
                <w:color w:val="000000"/>
                <w:w w:val="99"/>
                <w:vertAlign w:val="subscript"/>
              </w:rPr>
              <w:t>$</w:t>
            </w:r>
            <w:r>
              <w:rPr>
                <w:rFonts w:ascii="Times New Roman" w:cs="Times New Roman" w:eastAsia="Times New Roman" w:hAnsi="Times New Roman"/>
                <w:sz w:val="34"/>
                <w:szCs w:val="34"/>
                <w:color w:val="0000FF"/>
                <w:w w:val="99"/>
                <w:vertAlign w:val="subscript"/>
              </w:rPr>
              <w:t>0</w:t>
            </w:r>
            <w:r>
              <w:rPr>
                <w:rFonts w:ascii="Times New Roman" w:cs="Times New Roman" w:eastAsia="Times New Roman" w:hAnsi="Times New Roman"/>
                <w:sz w:val="11"/>
                <w:szCs w:val="11"/>
                <w:color w:val="008000"/>
                <w:w w:val="99"/>
              </w:rPr>
              <w:t>(1)(2)(3)</w:t>
            </w:r>
          </w:p>
        </w:tc>
        <w:tc>
          <w:tcPr>
            <w:tcW w:w="1140" w:type="dxa"/>
            <w:vAlign w:val="bottom"/>
            <w:tcBorders>
              <w:bottom w:val="single" w:sz="8" w:color="2C2C2C"/>
            </w:tcBorders>
          </w:tcPr>
          <w:p>
            <w:pPr>
              <w:ind w:left="540"/>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80" w:firstLine="7"/>
        <w:spacing w:after="0" w:line="24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6, 2025, in connection with the consummation of the transactions contemplated by the Arrangement Agreement, dated as of January 29, 2025, as amended by an amending agreement dated March 12, 2025, by and among the Issuer, Lionsgate Studios Corp. ("New Lionsgate") (f/k/a Lionsgate Sudios Holding Corp.), LG Sirius Holdings ULC and Lionsgate Studios Holding Corp. (f/k/a Lionsgate Studios Corp.), each share of the Issuer's Class A voting shares and Class B non-voting shares, without par value, held by the Reporting Person were exchanged for (i) New Lionsgate new common shares, without par value, pursuant to the Initial Share Exchange and Second Share Exchange (as defined in the Issuer's joint proxy statement/prospectus included in the Registration Statement on Form S-4 (the "Form S-4")) and (ii) common shares, without par value, of Starz Entertainment Corp. ("Starz") pursuant to the Initial Share Exchange, Second Share Exchange and Reverse Stock Split (as defined in the Form S-4).</w:t>
      </w:r>
    </w:p>
    <w:p>
      <w:pPr>
        <w:spacing w:after="0" w:line="179" w:lineRule="exact"/>
        <w:rPr>
          <w:rFonts w:ascii="Times New Roman" w:cs="Times New Roman" w:eastAsia="Times New Roman" w:hAnsi="Times New Roman"/>
          <w:sz w:val="13"/>
          <w:szCs w:val="13"/>
          <w:color w:val="008000"/>
        </w:rPr>
      </w:pPr>
    </w:p>
    <w:p>
      <w:pPr>
        <w:jc w:val="both"/>
        <w:ind w:left="40" w:right="1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Form S-4, (i) each equity award outstanding under the equity plans of Issuer held by an employee or service provider of Issuer who will be an employee or service provider of New Lionsgate after the transactions, or by a former employee of Issuer (regardless of the division in which such former employee served), will be converted into an award of New Lionsgate under the New Lionsgate 2025 Plan (as defined in the Form S-4), (ii) each equity award outstanding under the equity plans of Issuer held by an employee or service provider of Issuer who will be an employee or service provider of Starz will be converted into an award of Starz under the Starz 2025 Plan (as defined in the Form S-4),</w:t>
      </w:r>
    </w:p>
    <w:p>
      <w:pPr>
        <w:spacing w:after="0" w:line="24" w:lineRule="exact"/>
        <w:rPr>
          <w:rFonts w:ascii="Times New Roman" w:cs="Times New Roman" w:eastAsia="Times New Roman" w:hAnsi="Times New Roman"/>
          <w:sz w:val="13"/>
          <w:szCs w:val="13"/>
          <w:color w:val="008000"/>
        </w:rPr>
      </w:pPr>
    </w:p>
    <w:p>
      <w:pPr>
        <w:jc w:val="both"/>
        <w:ind w:left="40" w:right="1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and (iii) each equity award outstanding under the equity plans of Issuer held by a director of Issuer who will be a director of both New Lionsgate and Starz will be partially converted into an award of award of New Lionsgate under the New Lionsgate 2025 Plan and partially converted into an award of Starz under the Starz 2025 Plan, in all cases, on a basis that is intended to preserve the aggregate fair market value of such awards immediately before and immediately after the conversion.</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Adrian Kuzycz, by power</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05/08/2025</w:t>
            </w:r>
          </w:p>
        </w:tc>
        <w:tc>
          <w:tcPr>
            <w:tcW w:w="0" w:type="dxa"/>
            <w:vAlign w:val="bottom"/>
          </w:tcPr>
          <w:p>
            <w:pPr>
              <w:spacing w:after="0"/>
              <w:rPr>
                <w:sz w:val="1"/>
                <w:szCs w:val="1"/>
                <w:color w:val="auto"/>
              </w:rPr>
            </w:pPr>
          </w:p>
        </w:tc>
      </w:tr>
      <w:tr>
        <w:trPr>
          <w:trHeight w:val="87"/>
        </w:trPr>
        <w:tc>
          <w:tcPr>
            <w:tcW w:w="19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atty., for James W. Barge</w:t>
            </w:r>
          </w:p>
        </w:tc>
        <w:tc>
          <w:tcPr>
            <w:tcW w:w="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40" w:type="dxa"/>
            <w:vAlign w:val="bottom"/>
            <w:tcBorders>
              <w:top w:val="single" w:sz="8" w:color="auto"/>
              <w:bottom w:val="single" w:sz="8" w:color="auto"/>
            </w:tcBorders>
            <w:vMerge w:val="continue"/>
          </w:tcPr>
          <w:p>
            <w:pPr>
              <w:spacing w:after="0"/>
              <w:rPr>
                <w:sz w:val="7"/>
                <w:szCs w:val="7"/>
                <w:color w:val="auto"/>
              </w:rPr>
            </w:pPr>
          </w:p>
        </w:tc>
        <w:tc>
          <w:tcPr>
            <w:tcW w:w="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37441" TargetMode="External"/><Relationship Id="rId14" Type="http://schemas.openxmlformats.org/officeDocument/2006/relationships/hyperlink" Target="http://www.sec.gov/cgi-bin/browse-edgar?action=getcompany&amp;CIK=00009293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2025-05-08T18:22:03Z</dcterms:created>
  <dcterms:modified xsi:type="dcterms:W3CDTF">2025-05-08T18:22:03Z</dcterms:modified>
</cp:coreProperties>
</file>