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Clyburn Mignon L</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(Last)</w:t>
            </w:r>
          </w:p>
        </w:tc>
        <w:tc>
          <w:tcPr>
            <w:tcW w:w="1200" w:type="dxa"/>
            <w:vAlign w:val="bottom"/>
          </w:tcPr>
          <w:p>
            <w:pPr>
              <w:ind w:left="260"/>
              <w:spacing w:after="0"/>
              <w:rPr>
                <w:sz w:val="20"/>
                <w:szCs w:val="20"/>
                <w:color w:val="auto"/>
              </w:rPr>
            </w:pPr>
            <w:r>
              <w:rPr>
                <w:rFonts w:ascii="Arial" w:cs="Arial" w:eastAsia="Arial" w:hAnsi="Arial"/>
                <w:sz w:val="13"/>
                <w:szCs w:val="13"/>
                <w:color w:val="auto"/>
              </w:rPr>
              <w:t>(First)</w:t>
            </w:r>
          </w:p>
        </w:tc>
        <w:tc>
          <w:tcPr>
            <w:tcW w:w="1480" w:type="dxa"/>
            <w:vAlign w:val="bottom"/>
          </w:tcPr>
          <w:p>
            <w:pPr>
              <w:ind w:left="2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1647 STEWART STREET</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2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CA</w:t>
            </w:r>
          </w:p>
        </w:tc>
        <w:tc>
          <w:tcPr>
            <w:tcW w:w="148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90404</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MONICA</w:t>
            </w:r>
          </w:p>
        </w:tc>
        <w:tc>
          <w:tcPr>
            <w:tcW w:w="1200" w:type="dxa"/>
            <w:vAlign w:val="bottom"/>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200" w:type="dxa"/>
            <w:vAlign w:val="bottom"/>
          </w:tcPr>
          <w:p>
            <w:pPr>
              <w:ind w:left="260"/>
              <w:spacing w:after="0"/>
              <w:rPr>
                <w:sz w:val="20"/>
                <w:szCs w:val="20"/>
                <w:color w:val="auto"/>
              </w:rPr>
            </w:pPr>
            <w:r>
              <w:rPr>
                <w:rFonts w:ascii="Arial" w:cs="Arial" w:eastAsia="Arial" w:hAnsi="Arial"/>
                <w:sz w:val="13"/>
                <w:szCs w:val="13"/>
                <w:color w:val="auto"/>
              </w:rPr>
              <w:t>(State)</w:t>
            </w:r>
          </w:p>
        </w:tc>
        <w:tc>
          <w:tcPr>
            <w:tcW w:w="1480" w:type="dxa"/>
            <w:vAlign w:val="bottom"/>
          </w:tcPr>
          <w:p>
            <w:pPr>
              <w:ind w:left="2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STARZ ENTERTAINMENT CORP /CN/ </w:t>
              </w:r>
            </w:hyperlink>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560" w:type="dxa"/>
            <w:vAlign w:val="bottom"/>
            <w:tcBorders>
              <w:top w:val="single" w:sz="8" w:color="0000EE"/>
            </w:tcBorders>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STRZ </w:t>
            </w:r>
            <w:r>
              <w:rPr>
                <w:rFonts w:ascii="Times New Roman" w:cs="Times New Roman" w:eastAsia="Times New Roman" w:hAnsi="Times New Roman"/>
                <w:sz w:val="21"/>
                <w:szCs w:val="21"/>
                <w:color w:val="000000"/>
              </w:rPr>
              <w:t>]</w:t>
            </w:r>
          </w:p>
        </w:tc>
        <w:tc>
          <w:tcPr>
            <w:tcW w:w="18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560" w:type="dxa"/>
            <w:vAlign w:val="bottom"/>
            <w:gridSpan w:val="2"/>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4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1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1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6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05/09/2025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4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10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2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05/09/2025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J</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13,825</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17,514</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28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6, 2025, in connection with the consummation of the transactions contemplated by the Arrangement Agreement, dated as of January 29, 2025, as amended by an amending agreement dated March 12, 2025, by and among the Issuer (f/k/a Lions Gate Entertainment Corp. or "LGEC"), Lionsgate Studios Corp. (f/k/a Lionsgate Studios Holding Corp.), LG Sirius Holdings ULC and Lionsgate Studios Holding Corp. (f/k/a Lionsgate Studios Corp.), each equity award outstanding under the equity plans of LGEC held by a LGEC service provider who will be a service provider of Issuer after the transactions were converted into an award of Issuer under the Starz 2025 Plan (as defined in the Issuer's joint proxy statement/prospectus included in the Registration Statement on Form S-4), on a basis that is intended to preserve the fair market value of such awards immediately before and immediately after the conversion.</w:t>
      </w:r>
    </w:p>
    <w:p>
      <w:pPr>
        <w:spacing w:after="0" w:line="26" w:lineRule="exact"/>
        <w:rPr>
          <w:rFonts w:ascii="Times New Roman" w:cs="Times New Roman" w:eastAsia="Times New Roman" w:hAnsi="Times New Roman"/>
          <w:sz w:val="13"/>
          <w:szCs w:val="13"/>
          <w:color w:val="008000"/>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Amount includes the following restricted share units ("RSUs") granted by the Issuer, payable upon vesting in an equal number of common shares of the Issuer: (i) 1,105 RSUs scheduled to vest on September 13, 2025 and (ii) 12,720 RSUs scheduled to vest on November 29, 2025.</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Audrey Lee, by power of</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05/13/2025</w:t>
            </w:r>
          </w:p>
        </w:tc>
        <w:tc>
          <w:tcPr>
            <w:tcW w:w="0" w:type="dxa"/>
            <w:vAlign w:val="bottom"/>
          </w:tcPr>
          <w:p>
            <w:pPr>
              <w:spacing w:after="0"/>
              <w:rPr>
                <w:sz w:val="1"/>
                <w:szCs w:val="1"/>
                <w:color w:val="auto"/>
              </w:rPr>
            </w:pPr>
          </w:p>
        </w:tc>
      </w:tr>
      <w:tr>
        <w:trPr>
          <w:trHeight w:val="20"/>
        </w:trPr>
        <w:tc>
          <w:tcPr>
            <w:tcW w:w="1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atty., for Mignon L. Clyburn</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198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1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154305</wp:posOffset>
            </wp:positionV>
            <wp:extent cx="6964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firstLine="365"/>
        <w:spacing w:after="0"/>
        <w:rPr>
          <w:sz w:val="20"/>
          <w:szCs w:val="20"/>
          <w:color w:val="auto"/>
        </w:rPr>
      </w:pPr>
      <w:r>
        <w:rPr>
          <w:rFonts w:ascii="Times New Roman" w:cs="Times New Roman" w:eastAsia="Times New Roman" w:hAnsi="Times New Roman"/>
          <w:sz w:val="19"/>
          <w:szCs w:val="19"/>
          <w:color w:val="auto"/>
        </w:rPr>
        <w:t>Know all by these presents, that the undersigned hereby makes, constitutes and appoints each of Audrey Lee, Elizabeth Patterson and Le Marjanac, or any of them acting singly, and with full power of substitution and re-substitution, the undersigned’s true and lawful attorney-in-fact (each of such persons and their substitutes being referred to herein as the “Attorney-in-Fact”), with full power to act for the undersigned and in the undersigned's name, place and stead, in any and all capacities so long as such Attorney-in-Fact is an authorized representative of the Company (as defined below), to:</w:t>
      </w:r>
    </w:p>
    <w:p>
      <w:pPr>
        <w:spacing w:after="0" w:line="187" w:lineRule="exact"/>
        <w:rPr>
          <w:sz w:val="20"/>
          <w:szCs w:val="20"/>
          <w:color w:val="auto"/>
        </w:rPr>
      </w:pPr>
    </w:p>
    <w:p>
      <w:pPr>
        <w:jc w:val="both"/>
        <w:ind w:left="740" w:right="100" w:hanging="355"/>
        <w:spacing w:after="0" w:line="242" w:lineRule="auto"/>
        <w:tabs>
          <w:tab w:leader="none" w:pos="76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Prepare, execute, and submit to the Securities and Exchange Commission (“SEC”) a Form ID, including amendments thereto, and any other documents necessary, advisable or appropriate to obtain codes and passwords enabling the undersigned to make electronic filings with the SEC of reports required or considered by the Attorney-in-Fact to be advisable under Section 13 or Section 16 of the Securities Exchange Act of 1934 (the “Exchange Act”) or any rule or regulation of the SEC;</w:t>
      </w:r>
    </w:p>
    <w:p>
      <w:pPr>
        <w:spacing w:after="0" w:line="184" w:lineRule="exact"/>
        <w:rPr>
          <w:rFonts w:ascii="Times New Roman" w:cs="Times New Roman" w:eastAsia="Times New Roman" w:hAnsi="Times New Roman"/>
          <w:sz w:val="19"/>
          <w:szCs w:val="19"/>
          <w:color w:val="auto"/>
        </w:rPr>
      </w:pPr>
    </w:p>
    <w:p>
      <w:pPr>
        <w:ind w:left="740" w:right="60" w:hanging="355"/>
        <w:spacing w:after="0"/>
        <w:tabs>
          <w:tab w:leader="none" w:pos="76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Prepare, execute and submit to the SEC, Starz Entertainment Corp.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13 or Section 16 of the Exchange Act or any rule or regulation thereunder, or under Rule 144 under the Securities Act of 1933 (“Rule 144”), with respect to any security of the Company, including Forms 3, 4 and 5, Schedules 13D and 13G, and Forms 144; and</w:t>
      </w:r>
    </w:p>
    <w:p>
      <w:pPr>
        <w:spacing w:after="0" w:line="186" w:lineRule="exact"/>
        <w:rPr>
          <w:rFonts w:ascii="Times New Roman" w:cs="Times New Roman" w:eastAsia="Times New Roman" w:hAnsi="Times New Roman"/>
          <w:sz w:val="19"/>
          <w:szCs w:val="19"/>
          <w:color w:val="auto"/>
        </w:rPr>
      </w:pPr>
    </w:p>
    <w:p>
      <w:pPr>
        <w:ind w:left="740" w:hanging="355"/>
        <w:spacing w:after="0" w:line="247" w:lineRule="auto"/>
        <w:tabs>
          <w:tab w:leader="none" w:pos="76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The undersigned acknowledges that:</w:t>
      </w:r>
    </w:p>
    <w:p>
      <w:pPr>
        <w:spacing w:after="0" w:line="208" w:lineRule="exact"/>
        <w:rPr>
          <w:sz w:val="20"/>
          <w:szCs w:val="20"/>
          <w:color w:val="auto"/>
        </w:rPr>
      </w:pPr>
    </w:p>
    <w:p>
      <w:pPr>
        <w:ind w:left="1300" w:right="500" w:hanging="364"/>
        <w:spacing w:after="0" w:line="260" w:lineRule="auto"/>
        <w:tabs>
          <w:tab w:leader="none" w:pos="1308"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Power of Attorney authorizes, but does not require, the Attorney-in-Fact to act in his or her discretion on information provided to such Attorney-in-Fact without independent verification of such information;</w:t>
      </w:r>
    </w:p>
    <w:p>
      <w:pPr>
        <w:spacing w:after="0" w:line="166" w:lineRule="exact"/>
        <w:rPr>
          <w:rFonts w:ascii="Times New Roman" w:cs="Times New Roman" w:eastAsia="Times New Roman" w:hAnsi="Times New Roman"/>
          <w:sz w:val="19"/>
          <w:szCs w:val="19"/>
          <w:color w:val="auto"/>
        </w:rPr>
      </w:pPr>
    </w:p>
    <w:p>
      <w:pPr>
        <w:ind w:left="1300" w:right="220" w:hanging="364"/>
        <w:spacing w:after="0" w:line="247" w:lineRule="auto"/>
        <w:tabs>
          <w:tab w:leader="none" w:pos="1308"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documents prepared or executed by the Attorney-in-Fact on behalf of the undersigned pursuant to this Power of Attorney will be in such form and will contain such information as the Attorney-in-Fact, in his or her discretion, deems necessary, advisable or appropriate;</w:t>
      </w:r>
    </w:p>
    <w:p>
      <w:pPr>
        <w:spacing w:after="0" w:line="178" w:lineRule="exact"/>
        <w:rPr>
          <w:rFonts w:ascii="Times New Roman" w:cs="Times New Roman" w:eastAsia="Times New Roman" w:hAnsi="Times New Roman"/>
          <w:sz w:val="19"/>
          <w:szCs w:val="19"/>
          <w:color w:val="auto"/>
        </w:rPr>
      </w:pPr>
    </w:p>
    <w:p>
      <w:pPr>
        <w:ind w:left="1300" w:right="340" w:hanging="364"/>
        <w:spacing w:after="0" w:line="242" w:lineRule="auto"/>
        <w:tabs>
          <w:tab w:leader="none" w:pos="1308"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84" w:lineRule="exact"/>
        <w:rPr>
          <w:rFonts w:ascii="Times New Roman" w:cs="Times New Roman" w:eastAsia="Times New Roman" w:hAnsi="Times New Roman"/>
          <w:sz w:val="19"/>
          <w:szCs w:val="19"/>
          <w:color w:val="auto"/>
        </w:rPr>
      </w:pPr>
    </w:p>
    <w:p>
      <w:pPr>
        <w:jc w:val="both"/>
        <w:ind w:left="1300" w:right="140" w:hanging="364"/>
        <w:spacing w:after="0" w:line="247" w:lineRule="auto"/>
        <w:tabs>
          <w:tab w:leader="none" w:pos="1308"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78" w:lineRule="exact"/>
        <w:rPr>
          <w:sz w:val="20"/>
          <w:szCs w:val="20"/>
          <w:color w:val="auto"/>
        </w:rPr>
      </w:pPr>
    </w:p>
    <w:p>
      <w:pPr>
        <w:ind w:right="20" w:firstLine="365"/>
        <w:spacing w:after="0" w:line="247" w:lineRule="auto"/>
        <w:rPr>
          <w:sz w:val="20"/>
          <w:szCs w:val="20"/>
          <w:color w:val="auto"/>
        </w:rPr>
      </w:pPr>
      <w:r>
        <w:rPr>
          <w:rFonts w:ascii="Times New Roman" w:cs="Times New Roman" w:eastAsia="Times New Roman" w:hAnsi="Times New Roman"/>
          <w:sz w:val="19"/>
          <w:szCs w:val="19"/>
          <w:color w:val="auto"/>
        </w:rPr>
        <w:t>The undersigned hereby grants to the Attorney-in-Fact full power and authority to do and perform each and every action necessary, advisable or appropriate in connection with the foregoing, as fully, to all intents and purposes, as the undersigned might or could do in person, hereby ratifying and confirming all that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996950</wp:posOffset>
            </wp:positionV>
            <wp:extent cx="698944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p>
      <w:pPr>
        <w:sectPr>
          <w:pgSz w:w="11900" w:h="16838" w:orient="portrait"/>
          <w:cols w:equalWidth="0" w:num="1">
            <w:col w:w="10940"/>
          </w:cols>
          <w:pgMar w:left="460" w:top="1387"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9"/>
          <w:szCs w:val="19"/>
          <w:color w:val="auto"/>
        </w:rPr>
        <w:t>Attorney-in-Fact, or his or her substitute or substitutes, shall lawfully do or cause to be done by authority of this Power of Attorney.</w:t>
      </w:r>
    </w:p>
    <w:p>
      <w:pPr>
        <w:spacing w:after="0" w:line="208" w:lineRule="exact"/>
        <w:rPr>
          <w:sz w:val="20"/>
          <w:szCs w:val="20"/>
          <w:color w:val="auto"/>
        </w:rPr>
      </w:pPr>
    </w:p>
    <w:p>
      <w:pPr>
        <w:ind w:firstLine="365"/>
        <w:spacing w:after="0" w:line="242"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left="7460"/>
        <w:spacing w:after="0"/>
        <w:rPr>
          <w:sz w:val="20"/>
          <w:szCs w:val="20"/>
          <w:color w:val="auto"/>
        </w:rPr>
      </w:pPr>
      <w:r>
        <w:rPr>
          <w:rFonts w:ascii="Times New Roman" w:cs="Times New Roman" w:eastAsia="Times New Roman" w:hAnsi="Times New Roman"/>
          <w:sz w:val="18"/>
          <w:szCs w:val="18"/>
          <w:color w:val="auto"/>
        </w:rPr>
        <w:t>/s/ Mignon L. Clyburn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4260215</wp:posOffset>
            </wp:positionH>
            <wp:positionV relativeFrom="paragraph">
              <wp:posOffset>15875</wp:posOffset>
            </wp:positionV>
            <wp:extent cx="27076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707640" cy="8255"/>
                    </a:xfrm>
                    <a:prstGeom prst="rect">
                      <a:avLst/>
                    </a:prstGeom>
                    <a:noFill/>
                  </pic:spPr>
                </pic:pic>
              </a:graphicData>
            </a:graphic>
          </wp:anchor>
        </w:drawing>
      </w:r>
    </w:p>
    <w:p>
      <w:pPr>
        <w:spacing w:after="0" w:line="5"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9"/>
          <w:szCs w:val="19"/>
          <w:color w:val="auto"/>
        </w:rPr>
        <w:t>Signature</w:t>
      </w:r>
    </w:p>
    <w:p>
      <w:pPr>
        <w:spacing w:after="0" w:line="194" w:lineRule="exact"/>
        <w:rPr>
          <w:sz w:val="20"/>
          <w:szCs w:val="20"/>
          <w:color w:val="auto"/>
        </w:rPr>
      </w:pPr>
    </w:p>
    <w:p>
      <w:pPr>
        <w:ind w:left="6760"/>
        <w:spacing w:after="0"/>
        <w:tabs>
          <w:tab w:leader="none" w:pos="8500" w:val="left"/>
        </w:tabs>
        <w:rPr>
          <w:sz w:val="20"/>
          <w:szCs w:val="20"/>
          <w:color w:val="auto"/>
        </w:rPr>
      </w:pPr>
      <w:r>
        <w:rPr>
          <w:rFonts w:ascii="Times New Roman" w:cs="Times New Roman" w:eastAsia="Times New Roman" w:hAnsi="Times New Roman"/>
          <w:sz w:val="19"/>
          <w:szCs w:val="19"/>
          <w:color w:val="auto"/>
        </w:rPr>
        <w:t>Name:</w:t>
      </w:r>
      <w:r>
        <w:rPr>
          <w:sz w:val="20"/>
          <w:szCs w:val="20"/>
          <w:color w:val="auto"/>
        </w:rPr>
        <w:tab/>
      </w:r>
      <w:r>
        <w:rPr>
          <w:rFonts w:ascii="Times New Roman" w:cs="Times New Roman" w:eastAsia="Times New Roman" w:hAnsi="Times New Roman"/>
          <w:sz w:val="18"/>
          <w:szCs w:val="18"/>
          <w:color w:val="auto"/>
        </w:rPr>
        <w:t>Mignon L. Clyburn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4751070</wp:posOffset>
            </wp:positionH>
            <wp:positionV relativeFrom="paragraph">
              <wp:posOffset>13335</wp:posOffset>
            </wp:positionV>
            <wp:extent cx="22167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216785" cy="8255"/>
                    </a:xfrm>
                    <a:prstGeom prst="rect">
                      <a:avLst/>
                    </a:prstGeom>
                    <a:noFill/>
                  </pic:spPr>
                </pic:pic>
              </a:graphicData>
            </a:graphic>
          </wp:anchor>
        </w:drawing>
      </w:r>
    </w:p>
    <w:p>
      <w:pPr>
        <w:spacing w:after="0" w:line="4"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9"/>
          <w:szCs w:val="19"/>
          <w:color w:val="auto"/>
        </w:rPr>
        <w:t>(Name of Grantor)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1547495</wp:posOffset>
            </wp:positionV>
            <wp:extent cx="698944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sectPr>
      <w:pgSz w:w="11900" w:h="16838" w:orient="portrait"/>
      <w:cols w:equalWidth="0" w:num="1">
        <w:col w:w="10900"/>
      </w:cols>
      <w:pgMar w:left="460" w:top="1392"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770354" TargetMode="External"/><Relationship Id="rId14" Type="http://schemas.openxmlformats.org/officeDocument/2006/relationships/hyperlink" Target="http://www.sec.gov/cgi-bin/browse-edgar?action=getcompany&amp;CIK=00009293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2025-05-13T20:19:46Z</dcterms:created>
  <dcterms:modified xsi:type="dcterms:W3CDTF">2025-05-13T20:19:46Z</dcterms:modified>
</cp:coreProperties>
</file>