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8261.xml.htm"/>
      <w:bookmarkStart w:id="1" w:name="kswkform4_17860482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Wyrick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Technology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26,554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applicable tax withholding obligations upon the settlement of previously granted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4,543 RSUs scheduled to vest on July 1, 2027; (ii) 3,098 RSUs scheduled to vest in two equal annual installments on August 4, 2027 and 2028; and (iii) 6,338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common shares issued upon the settlement of previously granted performance-based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common shares withheld by the Issuer to satisfy applicable tax withholding obligations upon the settlement of previously granted performance-based restricted share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Jason Wyrick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6768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721</Words>
  <Characters>3928</Characters>
  <CharactersWithSpaces>4561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