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W. Barge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Lions Gate Entertainment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 Howe Street, 20th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 V6C 3R8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Adrian Kuzycz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Lionsgate Studios Holding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 Howe Street, 20th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 V6C 3R8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Lions Gate Entertainment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333-282630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James W. Barge and Adrian Kuzycz: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comment(s).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119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 on Form S-4 Filed October 15, 2024 Questions and Answers about the Transactions, page xxi</w:t>
      </w: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Question and Answer that addresses the Interests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Lionsgate and LG Studios Directors and Officers in the Transactions.</w:t>
      </w:r>
    </w:p>
    <w:p>
      <w:pPr>
        <w:ind w:right="265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Question and Answer about current and anticipated levels of</w:t>
      </w:r>
    </w:p>
    <w:p>
      <w:pPr>
        <w:ind w:left="120" w:right="4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indebtedness for each of New Lionsgate and Starz. November 13,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32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Q: How many New Lionsgate new common shares will I receive in the Transactions?, page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xxiii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further explain the Exchange Ratio and LG Studios Reorganization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Ratio, including that the LG Studios Reorganization Ratio is subject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a final determination of the number of New Lionsgate shares issued, as you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 on page 162. Please provide additional disclosure in the Background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right="643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section as well. Summary, page 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highlight revenues, net losses, and indebtedness for the Starz Business</w:t>
      </w:r>
    </w:p>
    <w:p>
      <w:pPr>
        <w:ind w:right="31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Lionsgate Studios for the periods presented in the proxy statement/prospectus.</w:t>
      </w:r>
    </w:p>
    <w:p>
      <w:pPr>
        <w:ind w:right="29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statements regarding the anticipated changes in indebtedness upon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the Transactions.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Transactions, page 107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name the investment and financial advisors that assisted Lionsgate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the several separation structures that you mention towards the top of page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107 and confirm whether they are the same advisors that ultimately assisted in the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</w:t>
      </w:r>
    </w:p>
    <w:p>
      <w:pPr>
        <w:ind w:right="265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in greater detail the reasons behind the decision to separate the</w:t>
      </w:r>
    </w:p>
    <w:p>
      <w:pPr>
        <w:ind w:right="255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Starz Business and the LG Studios Business and the reasons why the Lionsgate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85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Committee determined that the collapse of Lionsgate s dual-class share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was in the best interests of Lionsgate and its shareholders.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reference to the July 19, 2024 meeting, please revise to include any discussions by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Lionsgate Special Committee in determining to go above the 9.5-10% premium</w:t>
      </w:r>
    </w:p>
    <w:p>
      <w:pPr>
        <w:ind w:right="27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range previously contemplated and summarize any discussions that ultimately led the</w:t>
      </w:r>
    </w:p>
    <w:p>
      <w:pPr>
        <w:ind w:right="28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Lionsgate Special Committee to determine that a 12% premium was appropriate.</w:t>
      </w:r>
    </w:p>
    <w:p>
      <w:pPr>
        <w:ind w:left="640" w:hanging="632"/>
        <w:spacing w:after="0" w:line="238" w:lineRule="auto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representatives of MHR Fund Management, LLC were present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portions of certain Lionsgate Special Committee meetings that involved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related to the review of materials they had presented. Please describe the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materials presented and clarify which representatives of MHR Fund Management</w:t>
      </w:r>
    </w:p>
    <w:p>
      <w:pPr>
        <w:ind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present. In that light, we note that Lions Gate Entertainment's director Mark H.</w:t>
      </w:r>
    </w:p>
    <w:p>
      <w:pPr>
        <w:ind w:left="640" w:right="19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Rachesky, M.D., is the Founder and Chief Investment Officer of MHR Fund Management. Please clarify whether he attended any meetings on behalf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MHR</w:t>
      </w:r>
    </w:p>
    <w:p>
      <w:pPr>
        <w:ind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 Management, recused himself, or otherwise. Please disclose this relationship,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along with his beneficial ownership, in the "Interests of Lionsgate Directors" section.</w:t>
      </w:r>
    </w:p>
    <w:p>
      <w:pPr>
        <w:ind w:right="255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"[t]hereafter, over the next two weeks, the Lionsgate Special</w:t>
      </w:r>
    </w:p>
    <w:p>
      <w:pPr>
        <w:ind w:right="31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Committee and its advisors continued discussing the proposed reclassification."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summarize any material discussions that occurred during this time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</w:t>
      </w:r>
    </w:p>
    <w:p>
      <w:pPr>
        <w:ind w:right="21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Lionsgate Special Committee engaged Houlihan Lokey on June 21,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and Kroll on July 14, 2024 and both financial advisors delivered their opinions</w:t>
      </w:r>
    </w:p>
    <w:p>
      <w:pPr>
        <w:ind w:left="640" w:right="19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October 3, 2024. However, we note that negotiations with MHR Fund Management and other holders of LGEC Class A common stock occurred prior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13,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3, 2024. Please clarify whether the discussions regarding the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premium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occurred with the input of Houlihan and Kroll and to what extent their analyses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to the final determination of the premium.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Consolidated Financial Information of New Lionsgate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of Pro Forma Presentation, page 149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151, you state that the repayment and issuance of new debt are considered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probable transactions requiring transaction accounting adjustments. Please tell us how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determined that such transactions are probable and the status of any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ind w:right="25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Consolidated Financial Statements Note 2. Discontinued Operations, page 159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the discontinued operations adjustment for investment in films and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television programs and program rights is different than the programming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</w:t>
      </w:r>
    </w:p>
    <w:p>
      <w:pPr>
        <w:ind w:right="401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recorded on Starz balance sheet as of June 30,2024. Note 3. Transaction Accounting Adjustments, page 160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footnote (b). Please revise your disclosure to explain how the $340.9 million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transfer from the Starz business was determined. In addition, tell us how you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concluded that the expectation that Starz will incur $350 million of new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is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probable.</w:t>
      </w:r>
    </w:p>
    <w:p>
      <w:pPr>
        <w:ind w:right="275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footnote (l) and (m). Please tell us in detail how you calculated the pro forma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weighted average number of basic and diluted shares outstanding for all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ind w:right="4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New Lionsgate After the Transactions Material Contracts, page 189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regarding the material contracts within the meaning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Canadian securities legislation here and on page 277. Please confirm that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summarized and filed as exhibits all material contracts required by Item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Starz After the Transaction, page 271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basis on which Starz Networks is a "leading" provider of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premium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video programming (e.g., by revenue, subscribers, etc.).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term "linear services" in further detail.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"[a]cross its digital platforms, the STARZ app provides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alternative for subscribers looking for a competitively priced option." Please clarify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"digital platforms" you are referencing here and revise to include additional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on the STARZ app's competitive pricing, including 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may use to assess pricing.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"[s]ubscribers have access to a vast library of quality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 and a top-rated user experience, along with the ability to download and watch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STARZ original series, blockbuster theatricals and favorite classic television series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13, 2024 Page 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movies." Please revise to quantify the "vast" library content and qualify your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regarding the "top-rated user experience" either by providing metrics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stating that it is management's belief.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regarding programming for "women and diverse audiences"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"women and underrepresented audiences." Please provide additional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these statements, including how you develop and choose programming for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audiences. Additionally, we note your statement regarding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choice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programing that "drive[s] subscription and engagement with key cohorts." Please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and how you track subscription and engagement with key cohorts and revise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state whether such "key cohorts" are women, diverse audiences, underrepresented</w:t>
      </w:r>
    </w:p>
    <w:p>
      <w:pPr>
        <w:ind w:right="675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audiences, or otherwise. Affiliation Agreements, page 273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affiliation agreements with distributors, including your statement that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"[t]he agreements are generally structured to be multi-year agreements with staggered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expiration dates." Please revise to disclose the expiration dates here and state whether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are any current plans for when the agreements expire in 2027. In this light, we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statement on page 41 that the renewal negotiation process for affiliation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agreements is typically lengthy. To the extent possible, please quantify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give</w:t>
      </w:r>
    </w:p>
    <w:p>
      <w:pPr>
        <w:ind w:right="39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examples of the length of prior negotiation periods. Output and Content License Agreements, page 274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right="1819" w:hanging="212"/>
        <w:spacing w:after="0" w:line="257" w:lineRule="auto"/>
        <w:tabs>
          <w:tab w:leader="none" w:pos="74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"[t]he majority of acquired content on Starz s services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consists of movies that have been released theatrically." Please disclose the percentage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acquired content and original content available on Starz's services.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"Starz has an exclusive multiyear output licensing agreement with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Lionsgate for Lionsgate label titles theatrically released in the U.S.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starting January 1,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2022, and for Lionsgate s Summit label titles theatrically released in the U.S. starting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1, 2023." Please revise to disclose the number of years under this agreement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clarify the duration of exclusivity with Starz, if different than the number of years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 the agreement. Please also discuss any renewal rights by Starz and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(market price or otherwise) with Lionsgate.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chart in the middle of page 274 that lists the "Significant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output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programming agreements" and "Significant library programming agreements." Please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detail in the chart including, for example, the number of agreements and</w:t>
      </w:r>
    </w:p>
    <w:p>
      <w:pPr>
        <w:ind w:right="3599" w:firstLine="737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duration of each agreement with the respective studios. Regulatory Matters, page 274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disclosure here and in the "Regulation" section at the top of page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275 to describe the material effects that government regulations have on your capital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expenditures, earnings and competitive position. Refer to Item 101(c)(2)(i)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13, 2024 Page 5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Starz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Finite-Lived Intangible Assets, page 288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impairment analysis, you state that the estimated undiscounted cash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 exceeded the carrying amount of the assets and therefore no impairment charge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required. Please revise to provide qualitative and quantitative information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 to understand the estimation uncertainty and the impact this critical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estimate has had or is reasonably likely to have on financial condition or</w:t>
      </w:r>
    </w:p>
    <w:p>
      <w:pPr>
        <w:ind w:right="255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operations. Refer to Item 303(b)(3) of Regulation S-K. Income Taxes, page 289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 robust disclosure of your assessment of the positive and negative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evidence considered in establishing your valuation allowance. Refer to Item 303(b)(3)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Relating to the Transactions, page 348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each description of the agreements to be entered into to effectuate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transactions, please revise to describe and quantify, as applicable, any revenue sharing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percentages, commissions, fees, costs, lump sum payments, etc. and material terms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anticipated relationship between the related parties following the separation and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distribution. Refer to Item 404 of Regulation S-K.</w:t>
      </w:r>
    </w:p>
    <w:p>
      <w:pPr>
        <w:ind w:right="1819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Consequences of the Transactions for Lionsgate Shareholders, page 351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disclosure in this section to acknowledge and reflect that the tax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are the opinion of counsel. Refer to Item 4(a)(6) of Form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S-4.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revise to address and express a conclusion for each material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tax consequence. A description of the law is not sufficient. If there is a lack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directly addressing the tax consequences of the transaction, conflicting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or significant doubt about the tax consequences of the transaction, counsel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issue a "should" or "more likely than not" opinion to make clear that the opinion</w:t>
      </w:r>
    </w:p>
    <w:p>
      <w:pPr>
        <w:ind w:right="22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subject to a degree of uncertainty. In such cases, counsel should explain clearly why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cannot give a "will" opinion. Refer to Staff Legal Bulletin No. 19. Finally, we note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that the disclosure in this section is a "discussion" and "does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. . . tax advice." Investors are entitled to rely on the opinion expressed.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Section III.D.1 of Staff Legal Bulletin No. 19. Please revise accordingly.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also applies to the disclosure in the section titled "Material U.S. Federal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Income Tax Consequences of the Transactions for LG Studio Shareholders."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Canadian Federal Income Tax Consequences of the Transactions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Lionsgate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page 358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here and in the section titled "Material Canadian Federal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Income Tax Consequences of the Transactions for LG Studios Shareholders"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conclude that: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13, 2024 Page 6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non-residents of Canada generally will not be subject to tax under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Canadian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Act; and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holders of LG Studios common shares who hold such shares as capital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</w:t>
      </w: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purposes of the Canadian Tax Act will generally not realize either a capital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 w:right="2559" w:firstLine="421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gain or a capital loss as a result of the transactions. Based on these statements, it appears that a Canadian tax opinion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covering the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foreign tax consequences is required. Please revise the disclosure to reflect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these tax consequences are the opinion of counsel and file the Canadian tax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opinion as an exhibit. Refer to Footnote 40 of Staff Legal Bulletin No.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to Financial Statements, page F-1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including financial statements of Lionsgate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Studios Holding Corp. in future amendments.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Starz Business of Lions Gate Entertainment Corp. Condensed Combined Financial Statements for the Years Ended March 31, 2024 and 2023</w:t>
      </w:r>
    </w:p>
    <w:p>
      <w:pPr>
        <w:ind w:right="527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Audited Combined Financial Statements Note 10. Revenue, page F-32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your consideration of disclosing disaggregated revenues at a more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level for the nature, amount, timing, and uncertainty of revenues and cash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flows. We note that you derive revenues from different types of subscribers both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domestically and internationally as part of your subscriber base. Refer to ASC 606-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10-50-5 and 50-6 and ASC 606-10-55-89 through 55-91.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Shapiro at 202-551-3273 or Joel Parker at 202-551-3651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Cara Wirth at 202-551-7127 or Taylor Beech at 202-551-4515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5" w:name="page6"/>
    <w:bookmarkEnd w:id="5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5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20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23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24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30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3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2025-05-22T23:10:59Z</dcterms:created>
  <dcterms:modified xsi:type="dcterms:W3CDTF">2025-05-22T23:10:59Z</dcterms:modified>
</cp:coreProperties>
</file>