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217805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174625</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124460</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96520</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139700</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Starz Entertainment Corp.</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107315</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97"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1-14880</w:t>
            </w:r>
          </w:p>
        </w:tc>
        <w:tc>
          <w:tcPr>
            <w:tcW w:w="16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89"/>
        </w:trPr>
        <w:tc>
          <w:tcPr>
            <w:tcW w:w="21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820" w:type="dxa"/>
            <w:vAlign w:val="bottom"/>
          </w:tcPr>
          <w:p>
            <w:pPr>
              <w:ind w:left="1640"/>
              <w:spacing w:after="0" w:line="189" w:lineRule="exact"/>
              <w:rPr>
                <w:sz w:val="20"/>
                <w:szCs w:val="20"/>
                <w:color w:val="auto"/>
              </w:rPr>
            </w:pPr>
            <w:r>
              <w:rPr>
                <w:rFonts w:ascii="Times New Roman" w:cs="Times New Roman" w:eastAsia="Times New Roman" w:hAnsi="Times New Roman"/>
                <w:sz w:val="18"/>
                <w:szCs w:val="18"/>
                <w:color w:val="auto"/>
              </w:rPr>
              <w:t>(Commission File</w:t>
            </w:r>
          </w:p>
        </w:tc>
        <w:tc>
          <w:tcPr>
            <w:tcW w:w="1620" w:type="dxa"/>
            <w:vAlign w:val="bottom"/>
          </w:tcPr>
          <w:p>
            <w:pPr>
              <w:jc w:val="center"/>
              <w:ind w:left="17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8"/>
              </w:rPr>
              <w:t>Number)</w:t>
            </w:r>
          </w:p>
        </w:tc>
        <w:tc>
          <w:tcPr>
            <w:tcW w:w="1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05"/>
        </w:trPr>
        <w:tc>
          <w:tcPr>
            <w:tcW w:w="2160" w:type="dxa"/>
            <w:vAlign w:val="bottom"/>
          </w:tcPr>
          <w:p>
            <w:pPr>
              <w:spacing w:after="0"/>
              <w:rPr>
                <w:sz w:val="24"/>
                <w:szCs w:val="24"/>
                <w:color w:val="auto"/>
              </w:rPr>
            </w:pP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250 Howe Street, 20th Floor</w:t>
            </w:r>
          </w:p>
        </w:tc>
        <w:tc>
          <w:tcPr>
            <w:tcW w:w="162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48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 V6C 3R8</w:t>
            </w:r>
          </w:p>
        </w:tc>
        <w:tc>
          <w:tcPr>
            <w:tcW w:w="1620" w:type="dxa"/>
            <w:vAlign w:val="bottom"/>
          </w:tcPr>
          <w:p>
            <w:pPr>
              <w:spacing w:after="0"/>
              <w:rPr>
                <w:sz w:val="20"/>
                <w:szCs w:val="20"/>
                <w:color w:val="auto"/>
              </w:rPr>
            </w:pPr>
          </w:p>
        </w:tc>
      </w:tr>
      <w:tr>
        <w:trPr>
          <w:trHeight w:val="410"/>
        </w:trPr>
        <w:tc>
          <w:tcPr>
            <w:tcW w:w="2160" w:type="dxa"/>
            <w:vAlign w:val="bottom"/>
          </w:tcPr>
          <w:p>
            <w:pPr>
              <w:spacing w:after="0"/>
              <w:rPr>
                <w:sz w:val="24"/>
                <w:szCs w:val="24"/>
                <w:color w:val="auto"/>
              </w:rPr>
            </w:pPr>
          </w:p>
        </w:tc>
        <w:tc>
          <w:tcPr>
            <w:tcW w:w="48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1647 Stewart Street</w:t>
            </w:r>
          </w:p>
        </w:tc>
        <w:tc>
          <w:tcPr>
            <w:tcW w:w="1620" w:type="dxa"/>
            <w:vAlign w:val="bottom"/>
          </w:tcPr>
          <w:p>
            <w:pPr>
              <w:spacing w:after="0"/>
              <w:rPr>
                <w:sz w:val="24"/>
                <w:szCs w:val="24"/>
                <w:color w:val="auto"/>
              </w:rPr>
            </w:pPr>
          </w:p>
        </w:tc>
      </w:tr>
      <w:tr>
        <w:trPr>
          <w:trHeight w:val="224"/>
        </w:trPr>
        <w:tc>
          <w:tcPr>
            <w:tcW w:w="2160" w:type="dxa"/>
            <w:vAlign w:val="bottom"/>
          </w:tcPr>
          <w:p>
            <w:pPr>
              <w:spacing w:after="0"/>
              <w:rPr>
                <w:sz w:val="19"/>
                <w:szCs w:val="19"/>
                <w:color w:val="auto"/>
              </w:rPr>
            </w:pP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Santa Monica, California 90404</w:t>
            </w:r>
          </w:p>
        </w:tc>
        <w:tc>
          <w:tcPr>
            <w:tcW w:w="1620" w:type="dxa"/>
            <w:vAlign w:val="bottom"/>
          </w:tcPr>
          <w:p>
            <w:pPr>
              <w:spacing w:after="0"/>
              <w:rPr>
                <w:sz w:val="19"/>
                <w:szCs w:val="19"/>
                <w:color w:val="auto"/>
              </w:rPr>
            </w:pPr>
          </w:p>
        </w:tc>
      </w:tr>
      <w:tr>
        <w:trPr>
          <w:trHeight w:val="210"/>
        </w:trPr>
        <w:tc>
          <w:tcPr>
            <w:tcW w:w="2160" w:type="dxa"/>
            <w:vAlign w:val="bottom"/>
          </w:tcPr>
          <w:p>
            <w:pPr>
              <w:spacing w:after="0"/>
              <w:rPr>
                <w:sz w:val="18"/>
                <w:szCs w:val="18"/>
                <w:color w:val="auto"/>
              </w:rPr>
            </w:pP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620" w:type="dxa"/>
            <w:vAlign w:val="bottom"/>
          </w:tcPr>
          <w:p>
            <w:pPr>
              <w:spacing w:after="0"/>
              <w:rPr>
                <w:sz w:val="18"/>
                <w:szCs w:val="18"/>
                <w:color w:val="auto"/>
              </w:rPr>
            </w:pPr>
          </w:p>
        </w:tc>
      </w:tr>
      <w:tr>
        <w:trPr>
          <w:trHeight w:val="298"/>
        </w:trPr>
        <w:tc>
          <w:tcPr>
            <w:tcW w:w="2160" w:type="dxa"/>
            <w:vAlign w:val="bottom"/>
          </w:tcPr>
          <w:p>
            <w:pPr>
              <w:spacing w:after="0"/>
              <w:rPr>
                <w:sz w:val="24"/>
                <w:szCs w:val="24"/>
                <w:color w:val="auto"/>
              </w:rPr>
            </w:pP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(604) 648-6559</w:t>
            </w:r>
          </w:p>
        </w:tc>
        <w:tc>
          <w:tcPr>
            <w:tcW w:w="162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20" w:type="dxa"/>
            <w:vAlign w:val="bottom"/>
          </w:tcPr>
          <w:p>
            <w:pPr>
              <w:spacing w:after="0"/>
              <w:rPr>
                <w:sz w:val="20"/>
                <w:szCs w:val="20"/>
                <w:color w:val="auto"/>
              </w:rPr>
            </w:pPr>
          </w:p>
        </w:tc>
      </w:tr>
      <w:tr>
        <w:trPr>
          <w:trHeight w:val="306"/>
        </w:trPr>
        <w:tc>
          <w:tcPr>
            <w:tcW w:w="2160" w:type="dxa"/>
            <w:vAlign w:val="bottom"/>
          </w:tcPr>
          <w:p>
            <w:pPr>
              <w:spacing w:after="0"/>
              <w:rPr>
                <w:sz w:val="24"/>
                <w:szCs w:val="24"/>
                <w:color w:val="auto"/>
              </w:rPr>
            </w:pPr>
          </w:p>
        </w:tc>
        <w:tc>
          <w:tcPr>
            <w:tcW w:w="48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N/A</w:t>
            </w:r>
          </w:p>
        </w:tc>
        <w:tc>
          <w:tcPr>
            <w:tcW w:w="162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482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120015</wp:posOffset>
            </wp:positionV>
            <wp:extent cx="1714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6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460" w:hanging="434"/>
        <w:spacing w:after="0" w:line="181" w:lineRule="auto"/>
        <w:tabs>
          <w:tab w:leader="none" w:pos="46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2" w:lineRule="exact"/>
        <w:rPr>
          <w:rFonts w:ascii="MS PGothic" w:cs="MS PGothic" w:eastAsia="MS PGothic" w:hAnsi="MS PGothic"/>
          <w:sz w:val="32"/>
          <w:szCs w:val="32"/>
          <w:color w:val="auto"/>
          <w:vertAlign w:val="subscript"/>
        </w:rPr>
      </w:pPr>
    </w:p>
    <w:p>
      <w:pPr>
        <w:ind w:left="460" w:hanging="434"/>
        <w:spacing w:after="0" w:line="188" w:lineRule="auto"/>
        <w:tabs>
          <w:tab w:leader="none" w:pos="46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Pre-commencement communications pursuant to Rule 14d-2(b) under the Exchange (17 CFR 240.14d-2(b))</w:t>
      </w:r>
    </w:p>
    <w:p>
      <w:pPr>
        <w:spacing w:after="0" w:line="117" w:lineRule="exact"/>
        <w:rPr>
          <w:rFonts w:ascii="MS PGothic" w:cs="MS PGothic" w:eastAsia="MS PGothic" w:hAnsi="MS PGothic"/>
          <w:sz w:val="36"/>
          <w:szCs w:val="36"/>
          <w:color w:val="auto"/>
          <w:vertAlign w:val="subscript"/>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70"/>
        </w:trPr>
        <w:tc>
          <w:tcPr>
            <w:tcW w:w="1360" w:type="dxa"/>
            <w:vAlign w:val="bottom"/>
          </w:tcPr>
          <w:p>
            <w:pPr>
              <w:spacing w:after="0"/>
              <w:rPr>
                <w:sz w:val="23"/>
                <w:szCs w:val="23"/>
                <w:color w:val="auto"/>
              </w:rPr>
            </w:pPr>
          </w:p>
        </w:tc>
        <w:tc>
          <w:tcPr>
            <w:tcW w:w="3180" w:type="dxa"/>
            <w:vAlign w:val="bottom"/>
            <w:gridSpan w:val="2"/>
          </w:tcPr>
          <w:p>
            <w:pPr>
              <w:jc w:val="center"/>
              <w:ind w:right="18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318"/>
        </w:trPr>
        <w:tc>
          <w:tcPr>
            <w:tcW w:w="45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Common Shares, no par value per share</w:t>
            </w:r>
          </w:p>
        </w:tc>
        <w:tc>
          <w:tcPr>
            <w:tcW w:w="400" w:type="dxa"/>
            <w:vAlign w:val="bottom"/>
          </w:tcPr>
          <w:p>
            <w:pPr>
              <w:spacing w:after="0"/>
              <w:rPr>
                <w:sz w:val="24"/>
                <w:szCs w:val="24"/>
                <w:color w:val="auto"/>
              </w:rPr>
            </w:pPr>
          </w:p>
        </w:tc>
        <w:tc>
          <w:tcPr>
            <w:tcW w:w="20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STRZ</w:t>
            </w:r>
          </w:p>
        </w:tc>
        <w:tc>
          <w:tcPr>
            <w:tcW w:w="6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56"/>
        </w:trPr>
        <w:tc>
          <w:tcPr>
            <w:tcW w:w="1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5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626110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565785</wp:posOffset>
            </wp:positionV>
            <wp:extent cx="7089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spacing w:after="0" w:line="1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On August 20, 2025, the Board of Directors of Starz Entertainment Corp., a corporation organized under the laws of the province of British Columbia, Canada (hereinafter the “Company”), upon the recommendation of the Company’s Nominating and Corporate Governance Committee, appointed Mr. Ed</w:t>
      </w:r>
    </w:p>
    <w:p>
      <w:pPr>
        <w:ind w:right="280"/>
        <w:spacing w:after="0" w:line="282" w:lineRule="auto"/>
        <w:rPr>
          <w:sz w:val="20"/>
          <w:szCs w:val="20"/>
          <w:color w:val="auto"/>
        </w:rPr>
      </w:pPr>
      <w:r>
        <w:rPr>
          <w:rFonts w:ascii="Times New Roman" w:cs="Times New Roman" w:eastAsia="Times New Roman" w:hAnsi="Times New Roman"/>
          <w:sz w:val="18"/>
          <w:szCs w:val="18"/>
          <w:color w:val="auto"/>
        </w:rPr>
        <w:t>Wilson to the Board of Directors of the Company. Mr. Wilson was appointed to serve on the Nominating &amp; Corporate Governance Committee and the Audit &amp; Risk Committee.</w:t>
      </w:r>
    </w:p>
    <w:p>
      <w:pPr>
        <w:spacing w:after="0" w:line="17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Mr. Wilson will receive compensation for services as a non-employee director of the Company consistent with the compensation generally provided to other non-employee directors of the Company, as disclosed in the Company's Annual Report on Form 10-K filed with the Securities and Exchange Commission on June 26, 2025. There are no arrangements or understandings between the new director and any other person pursuant to which he was selected as a director, and there are no transactions involving the Company and the new director that the Company would be required to report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1033780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Starz Entertainment Corp.</w:t>
      </w:r>
    </w:p>
    <w:p>
      <w:pPr>
        <w:spacing w:after="0" w:line="337" w:lineRule="exact"/>
        <w:rPr>
          <w:sz w:val="20"/>
          <w:szCs w:val="20"/>
          <w:color w:val="auto"/>
        </w:rPr>
      </w:pPr>
    </w:p>
    <w:p>
      <w:pPr>
        <w:ind w:left="1440"/>
        <w:spacing w:after="0"/>
        <w:tabs>
          <w:tab w:leader="none" w:pos="1960" w:val="left"/>
          <w:tab w:leader="none" w:pos="6800" w:val="left"/>
        </w:tabs>
        <w:rPr>
          <w:sz w:val="20"/>
          <w:szCs w:val="20"/>
          <w:color w:val="auto"/>
        </w:rPr>
      </w:pPr>
      <w:r>
        <w:rPr>
          <w:rFonts w:ascii="Times New Roman" w:cs="Times New Roman" w:eastAsia="Times New Roman" w:hAnsi="Times New Roman"/>
          <w:sz w:val="18"/>
          <w:szCs w:val="18"/>
          <w:color w:val="auto"/>
        </w:rPr>
        <w:t>Date:</w:t>
        <w:tab/>
        <w:t>August 25,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Audrey Lee</w:t>
      </w:r>
    </w:p>
    <w:p>
      <w:pPr>
        <w:spacing w:after="0" w:line="6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Audrey Lee</w:t>
      </w:r>
    </w:p>
    <w:p>
      <w:pPr>
        <w:spacing w:after="0" w:line="6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EVP and General Counsel</w:t>
      </w:r>
    </w:p>
    <w:sectPr>
      <w:pgSz w:w="11900" w:h="16838" w:orient="portrait"/>
      <w:cols w:equalWidth="0" w:num="1">
        <w:col w:w="10340"/>
      </w:cols>
      <w:pgMar w:left="320" w:top="1418"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2025-08-25T12:34:41Z</dcterms:created>
  <dcterms:modified xsi:type="dcterms:W3CDTF">2025-08-25T12:34:41Z</dcterms:modified>
</cp:coreProperties>
</file>